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F041BC" w14:textId="11C057FC" w:rsidR="00EA44B8" w:rsidRDefault="00DC39E3" w:rsidP="00A009F4">
      <w:pPr>
        <w:spacing w:line="480" w:lineRule="auto"/>
        <w:rPr>
          <w:rFonts w:eastAsia="Times New Roman"/>
        </w:rPr>
      </w:pPr>
      <w:r>
        <w:rPr>
          <w:rFonts w:eastAsia="Times New Roman"/>
        </w:rPr>
        <w:t>“Toward a Thoroughgoing Constructionism in the Study of Religion”</w:t>
      </w:r>
    </w:p>
    <w:p w14:paraId="1AFC1ADE" w14:textId="6F57EF40" w:rsidR="00A009F4" w:rsidRDefault="00A009F4" w:rsidP="00A009F4">
      <w:pPr>
        <w:spacing w:line="480" w:lineRule="auto"/>
        <w:rPr>
          <w:rFonts w:eastAsia="Times New Roman"/>
        </w:rPr>
      </w:pPr>
      <w:r>
        <w:rPr>
          <w:rFonts w:eastAsia="Times New Roman"/>
        </w:rPr>
        <w:t>Michael DeJonge, University of South Florida</w:t>
      </w:r>
    </w:p>
    <w:p w14:paraId="1B8264FC" w14:textId="77777777" w:rsidR="00A009F4" w:rsidRDefault="00A009F4" w:rsidP="00A009F4">
      <w:pPr>
        <w:spacing w:line="480" w:lineRule="auto"/>
        <w:rPr>
          <w:rFonts w:eastAsia="Times New Roman"/>
        </w:rPr>
      </w:pPr>
    </w:p>
    <w:p w14:paraId="4A5DADE7" w14:textId="226B0BA6" w:rsidR="00F65FA6" w:rsidRDefault="0021763F" w:rsidP="00BF23AA">
      <w:pPr>
        <w:spacing w:line="480" w:lineRule="auto"/>
        <w:ind w:firstLine="720"/>
        <w:rPr>
          <w:rFonts w:eastAsia="Times New Roman"/>
        </w:rPr>
      </w:pPr>
      <w:r>
        <w:rPr>
          <w:rFonts w:eastAsia="Times New Roman"/>
        </w:rPr>
        <w:t>This year’</w:t>
      </w:r>
      <w:r w:rsidR="00F65FA6" w:rsidRPr="00F65FA6">
        <w:rPr>
          <w:rFonts w:eastAsia="Times New Roman"/>
        </w:rPr>
        <w:t>s meeti</w:t>
      </w:r>
      <w:r>
        <w:rPr>
          <w:rFonts w:eastAsia="Times New Roman"/>
        </w:rPr>
        <w:t>ng investigates what counts as “critique”</w:t>
      </w:r>
      <w:r w:rsidR="00F65FA6" w:rsidRPr="00F65FA6">
        <w:rPr>
          <w:rFonts w:eastAsia="Times New Roman"/>
        </w:rPr>
        <w:t xml:space="preserve"> and </w:t>
      </w:r>
      <w:r>
        <w:rPr>
          <w:rFonts w:eastAsia="Times New Roman"/>
        </w:rPr>
        <w:t>what is implied by the idea of “critical religious studies.”</w:t>
      </w:r>
      <w:r w:rsidR="00F65FA6" w:rsidRPr="00F65FA6">
        <w:rPr>
          <w:rFonts w:eastAsia="Times New Roman"/>
        </w:rPr>
        <w:t xml:space="preserve"> These terms are, as the call for papers rightly </w:t>
      </w:r>
      <w:r>
        <w:rPr>
          <w:rFonts w:eastAsia="Times New Roman"/>
        </w:rPr>
        <w:t>notes, contested. But whatever “critical religious studies”</w:t>
      </w:r>
      <w:r w:rsidR="00F65FA6" w:rsidRPr="00F65FA6">
        <w:rPr>
          <w:rFonts w:eastAsia="Times New Roman"/>
        </w:rPr>
        <w:t xml:space="preserve"> is, I think it is safe to say that one idea which figures prominently in it is construction. Among self-identified critical scholars of religion, talk of construction is common, and constructionism is treated as one of the boundary concepts that delim</w:t>
      </w:r>
      <w:r>
        <w:rPr>
          <w:rFonts w:eastAsia="Times New Roman"/>
        </w:rPr>
        <w:t>its “critical religious studies”</w:t>
      </w:r>
      <w:r w:rsidR="00F65FA6" w:rsidRPr="00F65FA6">
        <w:rPr>
          <w:rFonts w:eastAsia="Times New Roman"/>
        </w:rPr>
        <w:t xml:space="preserve"> from alternative approaches. But what exactly is constructionism? What do critical scholars of religion mean when they invoke construction?</w:t>
      </w:r>
    </w:p>
    <w:p w14:paraId="2B3CEB29" w14:textId="51B5BC63" w:rsidR="00F65FA6" w:rsidRDefault="00326178" w:rsidP="00BF23AA">
      <w:pPr>
        <w:spacing w:line="480" w:lineRule="auto"/>
        <w:ind w:firstLine="720"/>
        <w:rPr>
          <w:rFonts w:eastAsia="Times New Roman"/>
        </w:rPr>
      </w:pPr>
      <w:r>
        <w:rPr>
          <w:rFonts w:eastAsia="Times New Roman"/>
        </w:rPr>
        <w:t>The first part of my paper offers a</w:t>
      </w:r>
      <w:r w:rsidR="0048685C">
        <w:rPr>
          <w:rFonts w:eastAsia="Times New Roman"/>
        </w:rPr>
        <w:t xml:space="preserve"> partial</w:t>
      </w:r>
      <w:r>
        <w:rPr>
          <w:rFonts w:eastAsia="Times New Roman"/>
        </w:rPr>
        <w:t xml:space="preserve"> answer to this question, suggesting that</w:t>
      </w:r>
      <w:r w:rsidR="00F65FA6" w:rsidRPr="00F65FA6">
        <w:rPr>
          <w:rFonts w:eastAsia="Times New Roman"/>
        </w:rPr>
        <w:t xml:space="preserve">, in critical religious studies, constructionism is often </w:t>
      </w:r>
      <w:r>
        <w:rPr>
          <w:rFonts w:eastAsia="Times New Roman"/>
        </w:rPr>
        <w:t xml:space="preserve">understood in broadly Kantian terms – knowing subjects construct </w:t>
      </w:r>
      <w:r w:rsidR="0048685C">
        <w:rPr>
          <w:rFonts w:eastAsia="Times New Roman"/>
        </w:rPr>
        <w:t xml:space="preserve">their </w:t>
      </w:r>
      <w:r w:rsidR="00F65FA6" w:rsidRPr="00F65FA6">
        <w:rPr>
          <w:rFonts w:eastAsia="Times New Roman"/>
        </w:rPr>
        <w:t>objects of knowledge. Such Kantian constructionism functions within critical religious studies to draw attention to the constructed character of a particular object of knowledge, namely, religion.</w:t>
      </w:r>
      <w:r w:rsidR="00F65FA6">
        <w:rPr>
          <w:rFonts w:eastAsia="Times New Roman"/>
        </w:rPr>
        <w:t xml:space="preserve"> </w:t>
      </w:r>
      <w:r>
        <w:rPr>
          <w:rFonts w:eastAsia="Times New Roman"/>
        </w:rPr>
        <w:t>The second part of my paper follows the prompt i</w:t>
      </w:r>
      <w:r w:rsidR="0021763F">
        <w:rPr>
          <w:rFonts w:eastAsia="Times New Roman"/>
        </w:rPr>
        <w:t>n this year’</w:t>
      </w:r>
      <w:r w:rsidR="00F65FA6" w:rsidRPr="00F65FA6">
        <w:rPr>
          <w:rFonts w:eastAsia="Times New Roman"/>
        </w:rPr>
        <w:t>s call for papers, whic</w:t>
      </w:r>
      <w:r w:rsidR="0021763F">
        <w:rPr>
          <w:rFonts w:eastAsia="Times New Roman"/>
        </w:rPr>
        <w:t>h asks “</w:t>
      </w:r>
      <w:r w:rsidR="00F65FA6" w:rsidRPr="00F65FA6">
        <w:rPr>
          <w:rFonts w:eastAsia="Times New Roman"/>
        </w:rPr>
        <w:t>which theoretical frameworks ... critical religion scholars [have] not adequately engaged with</w:t>
      </w:r>
      <w:r>
        <w:rPr>
          <w:rFonts w:eastAsia="Times New Roman"/>
        </w:rPr>
        <w:t>.</w:t>
      </w:r>
      <w:r w:rsidR="0021763F">
        <w:rPr>
          <w:rFonts w:eastAsia="Times New Roman"/>
        </w:rPr>
        <w:t>”</w:t>
      </w:r>
      <w:r w:rsidR="00F65FA6" w:rsidRPr="00F65FA6">
        <w:rPr>
          <w:rFonts w:eastAsia="Times New Roman"/>
        </w:rPr>
        <w:t xml:space="preserve"> </w:t>
      </w:r>
      <w:r>
        <w:rPr>
          <w:rFonts w:eastAsia="Times New Roman"/>
        </w:rPr>
        <w:t xml:space="preserve">In response, </w:t>
      </w:r>
      <w:r w:rsidR="00F65FA6" w:rsidRPr="00F65FA6">
        <w:rPr>
          <w:rFonts w:eastAsia="Times New Roman"/>
        </w:rPr>
        <w:t xml:space="preserve">I outline a constructionism </w:t>
      </w:r>
      <w:r w:rsidR="0048685C">
        <w:rPr>
          <w:rFonts w:eastAsia="Times New Roman"/>
        </w:rPr>
        <w:t xml:space="preserve">more thoroughgoing than the Kantian variety, one </w:t>
      </w:r>
      <w:r w:rsidR="00F65FA6" w:rsidRPr="00F65FA6">
        <w:rPr>
          <w:rFonts w:eastAsia="Times New Roman"/>
        </w:rPr>
        <w:t xml:space="preserve">developed by the German twentieth-century theorist, Niklas Luhmann. From his theoretical perspective, the Kantian kind of constructionism frequently on offer in critical religious studies appears halfhearted and selective in </w:t>
      </w:r>
      <w:r w:rsidR="0048685C">
        <w:rPr>
          <w:rFonts w:eastAsia="Times New Roman"/>
        </w:rPr>
        <w:t>emphasizing</w:t>
      </w:r>
      <w:r w:rsidR="00C675ED">
        <w:rPr>
          <w:rFonts w:eastAsia="Times New Roman"/>
        </w:rPr>
        <w:t xml:space="preserve"> the subject’s construction of objects</w:t>
      </w:r>
      <w:r w:rsidR="008E77FE">
        <w:rPr>
          <w:rFonts w:eastAsia="Times New Roman"/>
        </w:rPr>
        <w:t xml:space="preserve"> to the exclusion of other construction processes</w:t>
      </w:r>
      <w:r w:rsidR="00C675ED">
        <w:rPr>
          <w:rFonts w:eastAsia="Times New Roman"/>
        </w:rPr>
        <w:t xml:space="preserve">. In the third part of the </w:t>
      </w:r>
      <w:r w:rsidR="00A009F4">
        <w:rPr>
          <w:rFonts w:eastAsia="Times New Roman"/>
        </w:rPr>
        <w:t>paper,</w:t>
      </w:r>
      <w:r w:rsidR="00C675ED">
        <w:rPr>
          <w:rFonts w:eastAsia="Times New Roman"/>
        </w:rPr>
        <w:t xml:space="preserve"> </w:t>
      </w:r>
      <w:r w:rsidR="00F65FA6" w:rsidRPr="00F65FA6">
        <w:rPr>
          <w:rFonts w:eastAsia="Times New Roman"/>
        </w:rPr>
        <w:t xml:space="preserve">I considering how a thoroughgoing, Luhmannian theory of construction </w:t>
      </w:r>
      <w:r w:rsidR="00C675ED">
        <w:rPr>
          <w:rFonts w:eastAsia="Times New Roman"/>
        </w:rPr>
        <w:t xml:space="preserve">– which extends construction processes into social systems – encourages </w:t>
      </w:r>
      <w:r w:rsidR="00F65FA6" w:rsidRPr="00F65FA6">
        <w:rPr>
          <w:rFonts w:eastAsia="Times New Roman"/>
        </w:rPr>
        <w:t>us to re-theorize religion</w:t>
      </w:r>
      <w:r w:rsidR="00BF23AA">
        <w:rPr>
          <w:rFonts w:eastAsia="Times New Roman"/>
        </w:rPr>
        <w:t xml:space="preserve"> </w:t>
      </w:r>
      <w:r w:rsidR="00F65FA6" w:rsidRPr="00F65FA6">
        <w:rPr>
          <w:rFonts w:eastAsia="Times New Roman"/>
        </w:rPr>
        <w:lastRenderedPageBreak/>
        <w:t>as a self-constructing social system, the status of which cannot be reduced to an object constructed by subjects</w:t>
      </w:r>
      <w:r w:rsidR="008E77FE">
        <w:rPr>
          <w:rFonts w:eastAsia="Times New Roman"/>
        </w:rPr>
        <w:t>.</w:t>
      </w:r>
    </w:p>
    <w:p w14:paraId="0022F47F" w14:textId="77777777" w:rsidR="00F65FA6" w:rsidRDefault="00F65FA6" w:rsidP="00BF23AA">
      <w:pPr>
        <w:spacing w:line="480" w:lineRule="auto"/>
        <w:ind w:firstLine="720"/>
        <w:rPr>
          <w:rFonts w:eastAsia="Times New Roman"/>
        </w:rPr>
      </w:pPr>
    </w:p>
    <w:p w14:paraId="15A565AF" w14:textId="462DCC49" w:rsidR="00F65FA6" w:rsidRPr="00600034" w:rsidRDefault="00F65FA6" w:rsidP="00BF23AA">
      <w:pPr>
        <w:spacing w:line="480" w:lineRule="auto"/>
        <w:ind w:firstLine="720"/>
        <w:rPr>
          <w:rFonts w:eastAsia="Times New Roman"/>
          <w:i/>
          <w:iCs/>
        </w:rPr>
      </w:pPr>
      <w:r w:rsidRPr="00600034">
        <w:rPr>
          <w:rFonts w:eastAsia="Times New Roman"/>
          <w:i/>
          <w:iCs/>
        </w:rPr>
        <w:t>K</w:t>
      </w:r>
      <w:r w:rsidR="00600034" w:rsidRPr="00600034">
        <w:rPr>
          <w:rFonts w:eastAsia="Times New Roman"/>
          <w:i/>
          <w:iCs/>
        </w:rPr>
        <w:t>antian Constructionism</w:t>
      </w:r>
    </w:p>
    <w:p w14:paraId="4DC66D0C" w14:textId="28461556" w:rsidR="00F65FA6" w:rsidRDefault="00C675ED" w:rsidP="00F32939">
      <w:pPr>
        <w:spacing w:line="480" w:lineRule="auto"/>
        <w:ind w:firstLine="720"/>
        <w:rPr>
          <w:rFonts w:eastAsia="Times New Roman"/>
        </w:rPr>
      </w:pPr>
      <w:r>
        <w:rPr>
          <w:rFonts w:eastAsia="Times New Roman"/>
        </w:rPr>
        <w:t xml:space="preserve">I cannot here survey the implicit understanding of constructionism throughout critical religious studies. Instead, I will take as representative </w:t>
      </w:r>
      <w:r w:rsidR="00F32939">
        <w:rPr>
          <w:rFonts w:eastAsia="Times New Roman"/>
        </w:rPr>
        <w:t xml:space="preserve">the 2017 volume, </w:t>
      </w:r>
      <w:r w:rsidR="00F32939">
        <w:rPr>
          <w:rFonts w:eastAsia="Times New Roman"/>
          <w:i/>
          <w:iCs/>
        </w:rPr>
        <w:t>Religion, Theory, Critique</w:t>
      </w:r>
      <w:r w:rsidR="00F32939">
        <w:rPr>
          <w:rFonts w:eastAsia="Times New Roman"/>
        </w:rPr>
        <w:t xml:space="preserve">, which is something like the state of the art in critical religious studies. Specifically, I focus on the preface and introductory chapter provided by the editor, Richard King. </w:t>
      </w:r>
      <w:r w:rsidR="00F65FA6" w:rsidRPr="00F65FA6">
        <w:rPr>
          <w:rFonts w:eastAsia="Times New Roman"/>
        </w:rPr>
        <w:t>When King introduces critical religious studies, both in his preface and his opening chapter, the theme of constructionism is front and center. The opening paragraph of the preface indicates that the volume seeks, among othe</w:t>
      </w:r>
      <w:r w:rsidR="0021763F">
        <w:rPr>
          <w:rFonts w:eastAsia="Times New Roman"/>
        </w:rPr>
        <w:t>r things, to draw attention to “</w:t>
      </w:r>
      <w:r w:rsidR="00F65FA6" w:rsidRPr="00F65FA6">
        <w:rPr>
          <w:rFonts w:eastAsia="Times New Roman"/>
        </w:rPr>
        <w:t>th</w:t>
      </w:r>
      <w:r w:rsidR="0021763F">
        <w:rPr>
          <w:rFonts w:eastAsia="Times New Roman"/>
        </w:rPr>
        <w:t>e contingent, constructed, and ‘</w:t>
      </w:r>
      <w:r w:rsidR="00F65FA6" w:rsidRPr="00F65FA6">
        <w:rPr>
          <w:rFonts w:eastAsia="Times New Roman"/>
        </w:rPr>
        <w:t>i</w:t>
      </w:r>
      <w:r w:rsidR="0021763F">
        <w:rPr>
          <w:rFonts w:eastAsia="Times New Roman"/>
        </w:rPr>
        <w:t>magined’ aspects of the field”</w:t>
      </w:r>
      <w:r w:rsidR="00F65FA6" w:rsidRPr="00F65FA6">
        <w:rPr>
          <w:rFonts w:eastAsia="Times New Roman"/>
        </w:rPr>
        <w:t xml:space="preserve"> of religious studies.</w:t>
      </w:r>
      <w:r w:rsidR="003E55B3">
        <w:rPr>
          <w:rStyle w:val="FootnoteReference"/>
          <w:rFonts w:eastAsia="Times New Roman"/>
        </w:rPr>
        <w:footnoteReference w:id="1"/>
      </w:r>
      <w:r w:rsidR="00F65FA6" w:rsidRPr="00F65FA6">
        <w:rPr>
          <w:rFonts w:eastAsia="Times New Roman"/>
        </w:rPr>
        <w:t xml:space="preserve"> And in the opening paragraph of the introductory chapter, </w:t>
      </w:r>
      <w:r w:rsidR="00F32939">
        <w:rPr>
          <w:rFonts w:eastAsia="Times New Roman"/>
        </w:rPr>
        <w:t>King</w:t>
      </w:r>
      <w:r w:rsidR="0021763F">
        <w:rPr>
          <w:rFonts w:eastAsia="Times New Roman"/>
        </w:rPr>
        <w:t xml:space="preserve"> highlights an “</w:t>
      </w:r>
      <w:r w:rsidR="00F65FA6" w:rsidRPr="00F65FA6">
        <w:rPr>
          <w:rFonts w:eastAsia="Times New Roman"/>
        </w:rPr>
        <w:t>interest in the way in which the field has been constructed</w:t>
      </w:r>
      <w:r w:rsidR="003E55B3">
        <w:rPr>
          <w:rFonts w:eastAsia="Times New Roman"/>
        </w:rPr>
        <w:t>.</w:t>
      </w:r>
      <w:r w:rsidR="0021763F">
        <w:rPr>
          <w:rFonts w:eastAsia="Times New Roman"/>
        </w:rPr>
        <w:t>”</w:t>
      </w:r>
      <w:r w:rsidR="003E55B3">
        <w:rPr>
          <w:rStyle w:val="FootnoteReference"/>
          <w:rFonts w:eastAsia="Times New Roman"/>
        </w:rPr>
        <w:footnoteReference w:id="2"/>
      </w:r>
      <w:r w:rsidR="00F65FA6" w:rsidRPr="00F65FA6">
        <w:rPr>
          <w:rFonts w:eastAsia="Times New Roman"/>
        </w:rPr>
        <w:t xml:space="preserve"> In this way, this volume dedicated to critical religious studies foregrounds talk of construction.</w:t>
      </w:r>
    </w:p>
    <w:p w14:paraId="2611C293" w14:textId="3D2775F6" w:rsidR="00F65FA6" w:rsidRDefault="00F65FA6" w:rsidP="00BF23AA">
      <w:pPr>
        <w:spacing w:line="480" w:lineRule="auto"/>
        <w:ind w:firstLine="720"/>
        <w:rPr>
          <w:rFonts w:eastAsia="Times New Roman"/>
        </w:rPr>
      </w:pPr>
      <w:r w:rsidRPr="00F65FA6">
        <w:rPr>
          <w:rFonts w:eastAsia="Times New Roman"/>
        </w:rPr>
        <w:t>What, according to King, is constructionism? In a section of the</w:t>
      </w:r>
      <w:r w:rsidR="0021763F">
        <w:rPr>
          <w:rFonts w:eastAsia="Times New Roman"/>
        </w:rPr>
        <w:t xml:space="preserve"> introductory chapter titled, “‘Critical Religion’</w:t>
      </w:r>
      <w:r w:rsidRPr="00F65FA6">
        <w:rPr>
          <w:rFonts w:eastAsia="Times New Roman"/>
        </w:rPr>
        <w:t xml:space="preserve"> and the Copern</w:t>
      </w:r>
      <w:r w:rsidR="0021763F">
        <w:rPr>
          <w:rFonts w:eastAsia="Times New Roman"/>
        </w:rPr>
        <w:t>ican Turn in Religious Studies,”</w:t>
      </w:r>
      <w:r w:rsidRPr="00F65FA6">
        <w:rPr>
          <w:rFonts w:eastAsia="Times New Roman"/>
        </w:rPr>
        <w:t xml:space="preserve"> he traces the origins of constructionism to Immanuel Kan</w:t>
      </w:r>
      <w:r w:rsidR="0021763F">
        <w:rPr>
          <w:rFonts w:eastAsia="Times New Roman"/>
        </w:rPr>
        <w:t>t’</w:t>
      </w:r>
      <w:r w:rsidRPr="00F65FA6">
        <w:rPr>
          <w:rFonts w:eastAsia="Times New Roman"/>
        </w:rPr>
        <w:t xml:space="preserve">s self-declared Copernican revolution in philosophy, which treats the knowing subject as active in the construction of objects of knowledge. King then </w:t>
      </w:r>
      <w:r w:rsidRPr="00F65FA6">
        <w:rPr>
          <w:rFonts w:eastAsia="Times New Roman"/>
        </w:rPr>
        <w:lastRenderedPageBreak/>
        <w:t xml:space="preserve">identifies a second phase in constructionism that, since the 1990s, has initiated a similar Copernican </w:t>
      </w:r>
      <w:r w:rsidR="0021763F">
        <w:rPr>
          <w:rFonts w:eastAsia="Times New Roman"/>
        </w:rPr>
        <w:t>turn in religious studies. “</w:t>
      </w:r>
      <w:r w:rsidRPr="00F65FA6">
        <w:rPr>
          <w:rFonts w:eastAsia="Times New Roman"/>
        </w:rPr>
        <w:t>Just as Kant asks us to cons</w:t>
      </w:r>
      <w:r w:rsidR="0021763F">
        <w:rPr>
          <w:rFonts w:eastAsia="Times New Roman"/>
        </w:rPr>
        <w:t>ider that the world of objects ‘out there’</w:t>
      </w:r>
      <w:r w:rsidRPr="00F65FA6">
        <w:rPr>
          <w:rFonts w:eastAsia="Times New Roman"/>
        </w:rPr>
        <w:t xml:space="preserve"> is actually framed by certain a priori categories that determine our perception of the world, we should recognize that the study of religion as a multidisciplinary field is not concerned with the exam</w:t>
      </w:r>
      <w:r w:rsidR="0021763F">
        <w:rPr>
          <w:rFonts w:eastAsia="Times New Roman"/>
        </w:rPr>
        <w:t>ination of a stable phenomenon ‘out there’ called ‘religion,’</w:t>
      </w:r>
      <w:r w:rsidRPr="00F65FA6">
        <w:rPr>
          <w:rFonts w:eastAsia="Times New Roman"/>
        </w:rPr>
        <w:t xml:space="preserve"> and that the object is itself constituted according to certain framing cultural assumptions</w:t>
      </w:r>
      <w:r w:rsidR="003E55B3">
        <w:rPr>
          <w:rFonts w:eastAsia="Times New Roman"/>
        </w:rPr>
        <w:t>.</w:t>
      </w:r>
      <w:r w:rsidR="0021763F">
        <w:rPr>
          <w:rFonts w:eastAsia="Times New Roman"/>
        </w:rPr>
        <w:t>”</w:t>
      </w:r>
      <w:r w:rsidR="003E55B3">
        <w:rPr>
          <w:rStyle w:val="FootnoteReference"/>
          <w:rFonts w:eastAsia="Times New Roman"/>
        </w:rPr>
        <w:footnoteReference w:id="3"/>
      </w:r>
      <w:r w:rsidRPr="00F65FA6">
        <w:rPr>
          <w:rFonts w:eastAsia="Times New Roman"/>
        </w:rPr>
        <w:t xml:space="preserve"> So, we have here two episodes in a story about con</w:t>
      </w:r>
      <w:r w:rsidR="0021763F">
        <w:rPr>
          <w:rFonts w:eastAsia="Times New Roman"/>
        </w:rPr>
        <w:t>structionism. The first is Kant’</w:t>
      </w:r>
      <w:r w:rsidRPr="00F65FA6">
        <w:rPr>
          <w:rFonts w:eastAsia="Times New Roman"/>
        </w:rPr>
        <w:t>s insight that subjects, through the categories of understanding and forms of intuition, construct objects of knowledge. The second is a more recent wave of theorizing, which sees religious studies as a field constructing its particular object of knowledge, religion.</w:t>
      </w:r>
    </w:p>
    <w:p w14:paraId="280E1300" w14:textId="0AAAAF32" w:rsidR="00F65FA6" w:rsidRDefault="00F65FA6" w:rsidP="00BF23AA">
      <w:pPr>
        <w:spacing w:line="480" w:lineRule="auto"/>
        <w:ind w:firstLine="720"/>
        <w:rPr>
          <w:rFonts w:eastAsia="Times New Roman"/>
        </w:rPr>
      </w:pPr>
      <w:r w:rsidRPr="00F65FA6">
        <w:rPr>
          <w:rFonts w:eastAsia="Times New Roman"/>
        </w:rPr>
        <w:t>When dealing with a</w:t>
      </w:r>
      <w:r w:rsidR="00DC39E3">
        <w:rPr>
          <w:rFonts w:eastAsia="Times New Roman"/>
        </w:rPr>
        <w:t xml:space="preserve">n </w:t>
      </w:r>
      <w:r w:rsidRPr="00F65FA6">
        <w:rPr>
          <w:rFonts w:eastAsia="Times New Roman"/>
        </w:rPr>
        <w:t>account of constructionism, it is helpful to as</w:t>
      </w:r>
      <w:r w:rsidR="0021763F">
        <w:rPr>
          <w:rFonts w:eastAsia="Times New Roman"/>
        </w:rPr>
        <w:t>k two questions. The first is: What is constructed?</w:t>
      </w:r>
      <w:r>
        <w:rPr>
          <w:rStyle w:val="FootnoteReference"/>
          <w:rFonts w:eastAsia="Times New Roman"/>
        </w:rPr>
        <w:footnoteReference w:id="4"/>
      </w:r>
      <w:r w:rsidR="0021763F">
        <w:rPr>
          <w:rFonts w:eastAsia="Times New Roman"/>
        </w:rPr>
        <w:t xml:space="preserve"> The second is: W</w:t>
      </w:r>
      <w:r w:rsidRPr="00F65FA6">
        <w:rPr>
          <w:rFonts w:eastAsia="Times New Roman"/>
        </w:rPr>
        <w:t>hat does the construc</w:t>
      </w:r>
      <w:r w:rsidR="0021763F">
        <w:rPr>
          <w:rFonts w:eastAsia="Times New Roman"/>
        </w:rPr>
        <w:t>ting? King’</w:t>
      </w:r>
      <w:r w:rsidRPr="00F65FA6">
        <w:rPr>
          <w:rFonts w:eastAsia="Times New Roman"/>
        </w:rPr>
        <w:t>s dominant answer to these questions is that objects of knowledge are what are constructed, and knowing subjects are what do the constructing. This is</w:t>
      </w:r>
      <w:r w:rsidR="0021763F">
        <w:rPr>
          <w:rFonts w:eastAsia="Times New Roman"/>
        </w:rPr>
        <w:t xml:space="preserve"> certainly how it works in Kant’</w:t>
      </w:r>
      <w:r w:rsidRPr="00F65FA6">
        <w:rPr>
          <w:rFonts w:eastAsia="Times New Roman"/>
        </w:rPr>
        <w:t xml:space="preserve">s version of constructionism, where the subject constructs any object of knowledge. Things get a little more complicated when King talks about the more recent wave of constructionism in religious studies, </w:t>
      </w:r>
      <w:r w:rsidR="0021763F">
        <w:rPr>
          <w:rFonts w:eastAsia="Times New Roman"/>
        </w:rPr>
        <w:t>because here what he calls the “field”</w:t>
      </w:r>
      <w:r w:rsidRPr="00F65FA6">
        <w:rPr>
          <w:rFonts w:eastAsia="Times New Roman"/>
        </w:rPr>
        <w:t xml:space="preserve"> of religious studies mediates between the constructing knower (the scholar of religion) and the constructed object (religion). But ultimately it seems that, for King, it is the knowing subject that constructs both the field of religious studies and its object, religion. As King writes, he is int</w:t>
      </w:r>
      <w:r w:rsidR="0021763F">
        <w:rPr>
          <w:rFonts w:eastAsia="Times New Roman"/>
        </w:rPr>
        <w:t>erested in “</w:t>
      </w:r>
      <w:r w:rsidRPr="00F65FA6">
        <w:rPr>
          <w:rFonts w:eastAsia="Times New Roman"/>
        </w:rPr>
        <w:t>t</w:t>
      </w:r>
      <w:r w:rsidR="0021763F">
        <w:rPr>
          <w:rFonts w:eastAsia="Times New Roman"/>
        </w:rPr>
        <w:t>he creative role of the scholar’</w:t>
      </w:r>
      <w:r w:rsidRPr="00F65FA6">
        <w:rPr>
          <w:rFonts w:eastAsia="Times New Roman"/>
        </w:rPr>
        <w:t xml:space="preserve">s imagination </w:t>
      </w:r>
      <w:r w:rsidRPr="00F65FA6">
        <w:rPr>
          <w:rFonts w:eastAsia="Times New Roman"/>
        </w:rPr>
        <w:lastRenderedPageBreak/>
        <w:t>in the construction of the field and its object(s) of study.</w:t>
      </w:r>
      <w:r w:rsidR="003E55B3">
        <w:rPr>
          <w:rFonts w:eastAsia="Times New Roman"/>
        </w:rPr>
        <w:t>”</w:t>
      </w:r>
      <w:r w:rsidR="003E55B3">
        <w:rPr>
          <w:rStyle w:val="FootnoteReference"/>
          <w:rFonts w:eastAsia="Times New Roman"/>
        </w:rPr>
        <w:footnoteReference w:id="5"/>
      </w:r>
      <w:r w:rsidRPr="00F65FA6">
        <w:rPr>
          <w:rFonts w:eastAsia="Times New Roman"/>
        </w:rPr>
        <w:t xml:space="preserve"> So, it is the scholar or knowing subject that does the constructing, and it is the object of knowledge, religion, which ultimately </w:t>
      </w:r>
      <w:r w:rsidR="008E77FE">
        <w:rPr>
          <w:rFonts w:eastAsia="Times New Roman"/>
        </w:rPr>
        <w:t xml:space="preserve">is </w:t>
      </w:r>
      <w:r w:rsidRPr="00F65FA6">
        <w:rPr>
          <w:rFonts w:eastAsia="Times New Roman"/>
        </w:rPr>
        <w:t>constructed. This is, then, a fundamentally Kantian version of constructionism, in which subjects construct objects.</w:t>
      </w:r>
      <w:r w:rsidR="00457710">
        <w:rPr>
          <w:rStyle w:val="FootnoteReference"/>
          <w:rFonts w:eastAsia="Times New Roman"/>
        </w:rPr>
        <w:footnoteReference w:id="6"/>
      </w:r>
    </w:p>
    <w:p w14:paraId="412667A9" w14:textId="63768E3B" w:rsidR="00F65FA6" w:rsidRDefault="00F65FA6" w:rsidP="00BF23AA">
      <w:pPr>
        <w:spacing w:line="480" w:lineRule="auto"/>
        <w:ind w:firstLine="720"/>
        <w:rPr>
          <w:rFonts w:eastAsia="Times New Roman"/>
        </w:rPr>
      </w:pPr>
      <w:r w:rsidRPr="00F65FA6">
        <w:rPr>
          <w:rFonts w:eastAsia="Times New Roman"/>
        </w:rPr>
        <w:t xml:space="preserve">When talking about a theory, it is often helpful to consider its alternative or opposite. So, what kind of theory or account is </w:t>
      </w:r>
      <w:r w:rsidRPr="00F65FA6">
        <w:rPr>
          <w:rFonts w:eastAsia="Times New Roman"/>
          <w:i/>
          <w:iCs/>
        </w:rPr>
        <w:t>not</w:t>
      </w:r>
      <w:r w:rsidRPr="00F65FA6">
        <w:rPr>
          <w:rFonts w:eastAsia="Times New Roman"/>
        </w:rPr>
        <w:t xml:space="preserve"> constructionism?</w:t>
      </w:r>
      <w:r>
        <w:rPr>
          <w:rStyle w:val="FootnoteReference"/>
          <w:rFonts w:eastAsia="Times New Roman"/>
        </w:rPr>
        <w:footnoteReference w:id="7"/>
      </w:r>
      <w:r w:rsidRPr="00F65FA6">
        <w:rPr>
          <w:rFonts w:eastAsia="Times New Roman"/>
        </w:rPr>
        <w:t xml:space="preserve"> King contrasts constructionis</w:t>
      </w:r>
      <w:r w:rsidR="0021763F">
        <w:rPr>
          <w:rFonts w:eastAsia="Times New Roman"/>
        </w:rPr>
        <w:t>m with a position that assumes “</w:t>
      </w:r>
      <w:r w:rsidRPr="00F65FA6">
        <w:rPr>
          <w:rFonts w:eastAsia="Times New Roman"/>
        </w:rPr>
        <w:t>an easily identifiable, singular, and stabl</w:t>
      </w:r>
      <w:r w:rsidR="0021763F">
        <w:rPr>
          <w:rFonts w:eastAsia="Times New Roman"/>
        </w:rPr>
        <w:t>e object of analysis ‘out there’ called ‘</w:t>
      </w:r>
      <w:r w:rsidRPr="00F65FA6">
        <w:rPr>
          <w:rFonts w:eastAsia="Times New Roman"/>
        </w:rPr>
        <w:t>religion</w:t>
      </w:r>
      <w:r w:rsidR="00B53940">
        <w:rPr>
          <w:rFonts w:eastAsia="Times New Roman"/>
        </w:rPr>
        <w:t>.</w:t>
      </w:r>
      <w:r w:rsidR="0021763F">
        <w:rPr>
          <w:rFonts w:eastAsia="Times New Roman"/>
        </w:rPr>
        <w:t>’”</w:t>
      </w:r>
      <w:r w:rsidR="00B53940">
        <w:rPr>
          <w:rStyle w:val="FootnoteReference"/>
          <w:rFonts w:eastAsia="Times New Roman"/>
        </w:rPr>
        <w:footnoteReference w:id="8"/>
      </w:r>
      <w:r w:rsidRPr="00F65FA6">
        <w:rPr>
          <w:rFonts w:eastAsia="Times New Roman"/>
        </w:rPr>
        <w:t xml:space="preserve"> </w:t>
      </w:r>
      <w:r w:rsidR="00A009F4" w:rsidRPr="00F65FA6">
        <w:rPr>
          <w:rFonts w:eastAsia="Times New Roman"/>
        </w:rPr>
        <w:t>I will</w:t>
      </w:r>
      <w:r w:rsidRPr="00F65FA6">
        <w:rPr>
          <w:rFonts w:eastAsia="Times New Roman"/>
        </w:rPr>
        <w:t xml:space="preserve"> call this alternative theoretical position naive realism. It treats objects of k</w:t>
      </w:r>
      <w:r w:rsidR="0021763F">
        <w:rPr>
          <w:rFonts w:eastAsia="Times New Roman"/>
        </w:rPr>
        <w:t xml:space="preserve">nowledge, including the object religion, as “out there” </w:t>
      </w:r>
      <w:r w:rsidRPr="00F65FA6">
        <w:rPr>
          <w:rFonts w:eastAsia="Times New Roman"/>
        </w:rPr>
        <w:t xml:space="preserve">independent of any process of knowing which constructs them. </w:t>
      </w:r>
    </w:p>
    <w:p w14:paraId="4DF57DB0" w14:textId="7A8C6F9E" w:rsidR="00705830" w:rsidRDefault="00F65FA6" w:rsidP="00BF23AA">
      <w:pPr>
        <w:spacing w:line="480" w:lineRule="auto"/>
        <w:ind w:firstLine="720"/>
        <w:rPr>
          <w:rFonts w:eastAsia="Times New Roman"/>
        </w:rPr>
      </w:pPr>
      <w:r w:rsidRPr="00F65FA6">
        <w:rPr>
          <w:rFonts w:eastAsia="Times New Roman"/>
        </w:rPr>
        <w:t>So, now we have a contrast between constructionism, which treats objects in general and th</w:t>
      </w:r>
      <w:r w:rsidR="00DC39E3">
        <w:rPr>
          <w:rFonts w:eastAsia="Times New Roman"/>
        </w:rPr>
        <w:t xml:space="preserve">at </w:t>
      </w:r>
      <w:r w:rsidRPr="00F65FA6">
        <w:rPr>
          <w:rFonts w:eastAsia="Times New Roman"/>
        </w:rPr>
        <w:t xml:space="preserve">object called religion as constructed through processes of knowing, and naive realism, which treats objects (including religion) as existing independent of any construction through knowing. </w:t>
      </w:r>
      <w:r w:rsidR="00DC39E3" w:rsidRPr="00F65FA6">
        <w:rPr>
          <w:rFonts w:eastAsia="Times New Roman"/>
        </w:rPr>
        <w:t>And</w:t>
      </w:r>
      <w:r w:rsidR="0021763F">
        <w:rPr>
          <w:rFonts w:eastAsia="Times New Roman"/>
        </w:rPr>
        <w:t xml:space="preserve">, for King, </w:t>
      </w:r>
      <w:r w:rsidRPr="00F65FA6">
        <w:rPr>
          <w:rFonts w:eastAsia="Times New Roman"/>
        </w:rPr>
        <w:t xml:space="preserve">this contrast between constructionism and </w:t>
      </w:r>
      <w:r w:rsidR="00B53940" w:rsidRPr="00F65FA6">
        <w:rPr>
          <w:rFonts w:eastAsia="Times New Roman"/>
        </w:rPr>
        <w:t>naive</w:t>
      </w:r>
      <w:r w:rsidR="00B53940">
        <w:rPr>
          <w:rFonts w:eastAsia="Times New Roman"/>
        </w:rPr>
        <w:t xml:space="preserve"> </w:t>
      </w:r>
      <w:r w:rsidRPr="00F65FA6">
        <w:rPr>
          <w:rFonts w:eastAsia="Times New Roman"/>
        </w:rPr>
        <w:t xml:space="preserve">realism helps define critical </w:t>
      </w:r>
      <w:r w:rsidRPr="00F65FA6">
        <w:rPr>
          <w:rFonts w:eastAsia="Times New Roman"/>
        </w:rPr>
        <w:lastRenderedPageBreak/>
        <w:t xml:space="preserve">religious studies. It is, </w:t>
      </w:r>
      <w:r w:rsidR="0021763F">
        <w:rPr>
          <w:rFonts w:eastAsia="Times New Roman"/>
        </w:rPr>
        <w:t>he writes, the “older generation of scholars”</w:t>
      </w:r>
      <w:r w:rsidR="00B53940">
        <w:rPr>
          <w:rStyle w:val="FootnoteReference"/>
          <w:rFonts w:eastAsia="Times New Roman"/>
        </w:rPr>
        <w:footnoteReference w:id="9"/>
      </w:r>
      <w:r w:rsidRPr="00F65FA6">
        <w:rPr>
          <w:rFonts w:eastAsia="Times New Roman"/>
        </w:rPr>
        <w:t xml:space="preserve"> who bought into naive realism. The current, critical scholars are constructionists.</w:t>
      </w:r>
    </w:p>
    <w:p w14:paraId="4FA10600" w14:textId="77777777" w:rsidR="00705830" w:rsidRDefault="00705830" w:rsidP="00BF23AA">
      <w:pPr>
        <w:spacing w:line="480" w:lineRule="auto"/>
        <w:ind w:firstLine="720"/>
        <w:rPr>
          <w:rFonts w:eastAsia="Times New Roman"/>
          <w:u w:val="single"/>
        </w:rPr>
      </w:pPr>
    </w:p>
    <w:p w14:paraId="6B915BF6" w14:textId="34888D7A" w:rsidR="00705830" w:rsidRPr="00600034" w:rsidRDefault="0021763F" w:rsidP="00BF23AA">
      <w:pPr>
        <w:spacing w:line="480" w:lineRule="auto"/>
        <w:ind w:firstLine="720"/>
        <w:rPr>
          <w:rFonts w:eastAsia="Times New Roman"/>
          <w:i/>
          <w:iCs/>
          <w:u w:val="single"/>
        </w:rPr>
      </w:pPr>
      <w:r>
        <w:rPr>
          <w:rFonts w:eastAsia="Times New Roman"/>
          <w:i/>
          <w:iCs/>
        </w:rPr>
        <w:t>Luhmann’s Extension of C</w:t>
      </w:r>
      <w:r w:rsidR="00F65FA6" w:rsidRPr="00600034">
        <w:rPr>
          <w:rFonts w:eastAsia="Times New Roman"/>
          <w:i/>
          <w:iCs/>
        </w:rPr>
        <w:t>onstructionism</w:t>
      </w:r>
    </w:p>
    <w:p w14:paraId="455F572C" w14:textId="796894A3" w:rsidR="00DA6975" w:rsidRDefault="00B53940" w:rsidP="00BF23AA">
      <w:pPr>
        <w:spacing w:line="480" w:lineRule="auto"/>
        <w:ind w:firstLine="720"/>
        <w:rPr>
          <w:rFonts w:eastAsia="Times New Roman"/>
          <w:u w:val="single"/>
        </w:rPr>
      </w:pPr>
      <w:r w:rsidRPr="00F65FA6">
        <w:rPr>
          <w:rFonts w:eastAsia="Times New Roman"/>
        </w:rPr>
        <w:t xml:space="preserve">Now, I am not interested in defending naive realism against constructionism. Instead, I am interested in suggesting that this Kantian version of constructionism put forward in critical religious studies is not very thoroughgoing. </w:t>
      </w:r>
      <w:r w:rsidR="00705830">
        <w:rPr>
          <w:rFonts w:eastAsia="Times New Roman"/>
        </w:rPr>
        <w:t>T</w:t>
      </w:r>
      <w:r w:rsidR="00F65FA6" w:rsidRPr="00F65FA6">
        <w:rPr>
          <w:rFonts w:eastAsia="Times New Roman"/>
        </w:rPr>
        <w:t xml:space="preserve">o make this point, I present here an example of a more thoroughgoing constructionism, one that begins with </w:t>
      </w:r>
      <w:r w:rsidR="0062398E">
        <w:rPr>
          <w:rFonts w:eastAsia="Times New Roman"/>
        </w:rPr>
        <w:t>Kant’</w:t>
      </w:r>
      <w:r w:rsidR="00F65FA6" w:rsidRPr="00F65FA6">
        <w:rPr>
          <w:rFonts w:eastAsia="Times New Roman"/>
        </w:rPr>
        <w:t xml:space="preserve">s insight that subjects construct objects but pushes beyond this relatively narrow consideration of construction processes. For this, I rely on Niklas Luhmann, for whom the subject-philosophical tradition of Kant is an important theoretical touchstone which nonetheless </w:t>
      </w:r>
      <w:r w:rsidR="0062398E" w:rsidRPr="00F65FA6">
        <w:rPr>
          <w:rFonts w:eastAsia="Times New Roman"/>
        </w:rPr>
        <w:t xml:space="preserve">must </w:t>
      </w:r>
      <w:r w:rsidR="00F65FA6" w:rsidRPr="00F65FA6">
        <w:rPr>
          <w:rFonts w:eastAsia="Times New Roman"/>
        </w:rPr>
        <w:t>be transcended. For him, appro</w:t>
      </w:r>
      <w:r w:rsidR="0062398E">
        <w:rPr>
          <w:rFonts w:eastAsia="Times New Roman"/>
        </w:rPr>
        <w:t>priating and moving beyond Kant’</w:t>
      </w:r>
      <w:r w:rsidR="00F65FA6" w:rsidRPr="00F65FA6">
        <w:rPr>
          <w:rFonts w:eastAsia="Times New Roman"/>
        </w:rPr>
        <w:t>s subjective constructionism frees us to see construction processes at work elsewhere than in knowing subjects, specifically, in subject-transcending social or communicative systems.</w:t>
      </w:r>
    </w:p>
    <w:p w14:paraId="4B9A89CC" w14:textId="081E6605" w:rsidR="00DA6975" w:rsidRDefault="00F65FA6" w:rsidP="00BF23AA">
      <w:pPr>
        <w:spacing w:line="480" w:lineRule="auto"/>
        <w:ind w:firstLine="720"/>
        <w:rPr>
          <w:rFonts w:eastAsia="Times New Roman"/>
          <w:u w:val="single"/>
        </w:rPr>
      </w:pPr>
      <w:r w:rsidRPr="00F65FA6">
        <w:rPr>
          <w:rFonts w:eastAsia="Times New Roman"/>
        </w:rPr>
        <w:t>The first thing to say about Luhmann in this context is that, when it comes to traditional</w:t>
      </w:r>
      <w:r w:rsidR="00EA44B8">
        <w:rPr>
          <w:rFonts w:eastAsia="Times New Roman"/>
        </w:rPr>
        <w:t xml:space="preserve"> philosophical-</w:t>
      </w:r>
      <w:r w:rsidRPr="00F65FA6">
        <w:rPr>
          <w:rFonts w:eastAsia="Times New Roman"/>
        </w:rPr>
        <w:t>epistemological considerations of subjec</w:t>
      </w:r>
      <w:r w:rsidR="0062398E">
        <w:rPr>
          <w:rFonts w:eastAsia="Times New Roman"/>
        </w:rPr>
        <w:t>ts and objects, he affirms Kant’</w:t>
      </w:r>
      <w:r w:rsidRPr="00F65FA6">
        <w:rPr>
          <w:rFonts w:eastAsia="Times New Roman"/>
        </w:rPr>
        <w:t>s insight that subjects construct objects. Drawing from a philosophical school called radical constructionism, Luhmann emphatically rejects naive realism.</w:t>
      </w:r>
      <w:r w:rsidR="00B53940" w:rsidRPr="00814A89">
        <w:rPr>
          <w:rStyle w:val="FootnoteReference"/>
          <w:rFonts w:eastAsia="Times New Roman"/>
        </w:rPr>
        <w:footnoteReference w:id="10"/>
      </w:r>
      <w:r w:rsidRPr="00F65FA6">
        <w:rPr>
          <w:rFonts w:eastAsia="Times New Roman"/>
        </w:rPr>
        <w:t xml:space="preserve"> In this way, he endorses the </w:t>
      </w:r>
      <w:r w:rsidRPr="00F65FA6">
        <w:rPr>
          <w:rFonts w:eastAsia="Times New Roman"/>
        </w:rPr>
        <w:lastRenderedPageBreak/>
        <w:t>finding of what he calls the subject-philosophical tradition, in which Kant figures so prominently, namely, that subjects construct objects.</w:t>
      </w:r>
    </w:p>
    <w:p w14:paraId="19218D22" w14:textId="2FFD7CC7" w:rsidR="00DA6975" w:rsidRDefault="0062398E" w:rsidP="00BF23AA">
      <w:pPr>
        <w:spacing w:line="480" w:lineRule="auto"/>
        <w:ind w:firstLine="720"/>
        <w:rPr>
          <w:rFonts w:eastAsia="Times New Roman"/>
          <w:u w:val="single"/>
        </w:rPr>
      </w:pPr>
      <w:r>
        <w:rPr>
          <w:rFonts w:eastAsia="Times New Roman"/>
        </w:rPr>
        <w:t>But Luhmann moves beyond Kant’</w:t>
      </w:r>
      <w:r w:rsidR="00F65FA6" w:rsidRPr="00F65FA6">
        <w:rPr>
          <w:rFonts w:eastAsia="Times New Roman"/>
        </w:rPr>
        <w:t xml:space="preserve">s version of constructionism in two ways. The first way </w:t>
      </w:r>
      <w:r w:rsidR="00A009F4" w:rsidRPr="00F65FA6">
        <w:rPr>
          <w:rFonts w:eastAsia="Times New Roman"/>
        </w:rPr>
        <w:t>follows</w:t>
      </w:r>
      <w:r w:rsidR="00F65FA6" w:rsidRPr="00F65FA6">
        <w:rPr>
          <w:rFonts w:eastAsia="Times New Roman"/>
        </w:rPr>
        <w:t xml:space="preserve"> the post-Kantian trajectory of subject philo</w:t>
      </w:r>
      <w:r>
        <w:rPr>
          <w:rFonts w:eastAsia="Times New Roman"/>
        </w:rPr>
        <w:t>sophy, which pushes beyond Kant’</w:t>
      </w:r>
      <w:r w:rsidR="00F65FA6" w:rsidRPr="00F65FA6">
        <w:rPr>
          <w:rFonts w:eastAsia="Times New Roman"/>
        </w:rPr>
        <w:t>s idea that subjects construct objects, claiming also that subjects construct themselves. He</w:t>
      </w:r>
      <w:r>
        <w:rPr>
          <w:rFonts w:eastAsia="Times New Roman"/>
        </w:rPr>
        <w:t>gel, for example, affirmed Kant’</w:t>
      </w:r>
      <w:r w:rsidR="00F65FA6" w:rsidRPr="00F65FA6">
        <w:rPr>
          <w:rFonts w:eastAsia="Times New Roman"/>
        </w:rPr>
        <w:t>s critique of naive realism with respect to objects</w:t>
      </w:r>
      <w:r>
        <w:rPr>
          <w:rFonts w:eastAsia="Times New Roman"/>
        </w:rPr>
        <w:t>, but he wondered why Kant didn’</w:t>
      </w:r>
      <w:r w:rsidR="00F65FA6" w:rsidRPr="00F65FA6">
        <w:rPr>
          <w:rFonts w:eastAsia="Times New Roman"/>
        </w:rPr>
        <w:t>t pursue a similarly constructionist and anti-realist line of thinking wit</w:t>
      </w:r>
      <w:r>
        <w:rPr>
          <w:rFonts w:eastAsia="Times New Roman"/>
        </w:rPr>
        <w:t>h respect to subjects. To Hegel’s mind, Kant’</w:t>
      </w:r>
      <w:r w:rsidR="00F65FA6" w:rsidRPr="00F65FA6">
        <w:rPr>
          <w:rFonts w:eastAsia="Times New Roman"/>
        </w:rPr>
        <w:t>s account of subjectivity retained a whiff of naive realism because Kant was not interested in asking how the subject was constructed. Instead, as Hegel saw it, Kant treated the subject and its structures of k</w:t>
      </w:r>
      <w:r>
        <w:rPr>
          <w:rFonts w:eastAsia="Times New Roman"/>
        </w:rPr>
        <w:t>nowledge as simply there. Hegel’</w:t>
      </w:r>
      <w:r w:rsidR="00F65FA6" w:rsidRPr="00F65FA6">
        <w:rPr>
          <w:rFonts w:eastAsia="Times New Roman"/>
        </w:rPr>
        <w:t xml:space="preserve">s project, then, was to </w:t>
      </w:r>
      <w:r w:rsidR="00A009F4" w:rsidRPr="00F65FA6">
        <w:rPr>
          <w:rFonts w:eastAsia="Times New Roman"/>
        </w:rPr>
        <w:t>continue</w:t>
      </w:r>
      <w:r>
        <w:rPr>
          <w:rFonts w:eastAsia="Times New Roman"/>
        </w:rPr>
        <w:t xml:space="preserve"> in Kant’</w:t>
      </w:r>
      <w:r w:rsidR="00F65FA6" w:rsidRPr="00F65FA6">
        <w:rPr>
          <w:rFonts w:eastAsia="Times New Roman"/>
        </w:rPr>
        <w:t>s constructionism, applying it also to subj</w:t>
      </w:r>
      <w:r>
        <w:rPr>
          <w:rFonts w:eastAsia="Times New Roman"/>
        </w:rPr>
        <w:t>ects. Out of this emerges Hegel’</w:t>
      </w:r>
      <w:r w:rsidR="00F65FA6" w:rsidRPr="00F65FA6">
        <w:rPr>
          <w:rFonts w:eastAsia="Times New Roman"/>
        </w:rPr>
        <w:t>s vision of subjectivity as self-constructing: in the process of constructing its objects of knowledge, the subject itself comes into being through a process of self-construction. With Hegel, then, the subject-philo</w:t>
      </w:r>
      <w:r>
        <w:rPr>
          <w:rFonts w:eastAsia="Times New Roman"/>
        </w:rPr>
        <w:t>sophical tradition extends Kant’s constructionism. Subjects don’</w:t>
      </w:r>
      <w:r w:rsidR="00F65FA6" w:rsidRPr="00F65FA6">
        <w:rPr>
          <w:rFonts w:eastAsia="Times New Roman"/>
        </w:rPr>
        <w:t>t just construct objects but also construct themselves.</w:t>
      </w:r>
      <w:r w:rsidR="00095B3B">
        <w:rPr>
          <w:rStyle w:val="FootnoteReference"/>
          <w:rFonts w:eastAsia="Times New Roman"/>
        </w:rPr>
        <w:footnoteReference w:id="11"/>
      </w:r>
    </w:p>
    <w:p w14:paraId="65FC85BE" w14:textId="746BEE80" w:rsidR="00DA6975" w:rsidRDefault="00F65FA6" w:rsidP="00BF23AA">
      <w:pPr>
        <w:spacing w:line="480" w:lineRule="auto"/>
        <w:ind w:firstLine="720"/>
        <w:rPr>
          <w:rFonts w:eastAsia="Times New Roman"/>
          <w:u w:val="single"/>
        </w:rPr>
      </w:pPr>
      <w:r w:rsidRPr="00F65FA6">
        <w:rPr>
          <w:rFonts w:eastAsia="Times New Roman"/>
        </w:rPr>
        <w:t xml:space="preserve">Luhmann endorses this broadly Hegelian, post-Kantian idea of subjective </w:t>
      </w:r>
      <w:r w:rsidRPr="00EA44B8">
        <w:rPr>
          <w:rFonts w:eastAsia="Times New Roman"/>
          <w:i/>
          <w:iCs/>
        </w:rPr>
        <w:t>self</w:t>
      </w:r>
      <w:r w:rsidRPr="00F65FA6">
        <w:rPr>
          <w:rFonts w:eastAsia="Times New Roman"/>
        </w:rPr>
        <w:t>-construction. Specifically, he endorses subjective self-construction as it fin</w:t>
      </w:r>
      <w:r w:rsidR="0062398E">
        <w:rPr>
          <w:rFonts w:eastAsia="Times New Roman"/>
        </w:rPr>
        <w:t>ds expression in Edmund Husserl’</w:t>
      </w:r>
      <w:r w:rsidRPr="00F65FA6">
        <w:rPr>
          <w:rFonts w:eastAsia="Times New Roman"/>
        </w:rPr>
        <w:t>s phenomenology, which Luhmann considers the high point of the subject-philosophical tradition.</w:t>
      </w:r>
      <w:r w:rsidR="00873C3A">
        <w:rPr>
          <w:rStyle w:val="FootnoteReference"/>
          <w:rFonts w:eastAsia="Times New Roman"/>
        </w:rPr>
        <w:footnoteReference w:id="12"/>
      </w:r>
      <w:r w:rsidRPr="00F65FA6">
        <w:rPr>
          <w:rFonts w:eastAsia="Times New Roman"/>
        </w:rPr>
        <w:t xml:space="preserve"> Husserl was able to show, Luhmann thinks, how discrete moments of </w:t>
      </w:r>
      <w:r w:rsidRPr="00F65FA6">
        <w:rPr>
          <w:rFonts w:eastAsia="Times New Roman"/>
        </w:rPr>
        <w:lastRenderedPageBreak/>
        <w:t xml:space="preserve">consciousness-of-objects could be strung together into a stream of consciousness, which could in turn develop into self-consciousness. </w:t>
      </w:r>
      <w:r w:rsidR="00EA44B8" w:rsidRPr="00F65FA6">
        <w:rPr>
          <w:rFonts w:eastAsia="Times New Roman"/>
        </w:rPr>
        <w:t>Thus,</w:t>
      </w:r>
      <w:r w:rsidRPr="00F65FA6">
        <w:rPr>
          <w:rFonts w:eastAsia="Times New Roman"/>
        </w:rPr>
        <w:t xml:space="preserve"> subject and object are both generated through the recursive, self-referential, and self-structuring processes of consciousness.</w:t>
      </w:r>
    </w:p>
    <w:p w14:paraId="5349257C" w14:textId="1318D92E" w:rsidR="00DA6975" w:rsidRDefault="0062398E" w:rsidP="00BF23AA">
      <w:pPr>
        <w:spacing w:line="480" w:lineRule="auto"/>
        <w:ind w:firstLine="720"/>
        <w:rPr>
          <w:rFonts w:eastAsia="Times New Roman"/>
          <w:u w:val="single"/>
        </w:rPr>
      </w:pPr>
      <w:r>
        <w:rPr>
          <w:rFonts w:eastAsia="Times New Roman"/>
        </w:rPr>
        <w:t>Luhmann’</w:t>
      </w:r>
      <w:r w:rsidR="00F65FA6" w:rsidRPr="00F65FA6">
        <w:rPr>
          <w:rFonts w:eastAsia="Times New Roman"/>
        </w:rPr>
        <w:t>s account of subjects</w:t>
      </w:r>
      <w:r>
        <w:rPr>
          <w:rFonts w:eastAsia="Times New Roman"/>
        </w:rPr>
        <w:t xml:space="preserve"> – “</w:t>
      </w:r>
      <w:r w:rsidR="00F65FA6" w:rsidRPr="00F65FA6">
        <w:rPr>
          <w:rFonts w:eastAsia="Times New Roman"/>
        </w:rPr>
        <w:t>psychic systems,</w:t>
      </w:r>
      <w:r>
        <w:rPr>
          <w:rFonts w:eastAsia="Times New Roman"/>
        </w:rPr>
        <w:t>”</w:t>
      </w:r>
      <w:r w:rsidR="00F65FA6" w:rsidRPr="00F65FA6">
        <w:rPr>
          <w:rFonts w:eastAsia="Times New Roman"/>
        </w:rPr>
        <w:t xml:space="preserve"> in his terminology</w:t>
      </w:r>
      <w:r w:rsidR="00EA44B8">
        <w:rPr>
          <w:rFonts w:eastAsia="Times New Roman"/>
        </w:rPr>
        <w:t xml:space="preserve"> – </w:t>
      </w:r>
      <w:r>
        <w:rPr>
          <w:rFonts w:eastAsia="Times New Roman"/>
        </w:rPr>
        <w:t>largely translates Husserl’</w:t>
      </w:r>
      <w:r w:rsidR="00F65FA6" w:rsidRPr="00F65FA6">
        <w:rPr>
          <w:rFonts w:eastAsia="Times New Roman"/>
        </w:rPr>
        <w:t xml:space="preserve">s account of consciousness into the language of systems theory. A psychic system is a self-constructing or </w:t>
      </w:r>
      <w:r w:rsidR="008E77FE">
        <w:rPr>
          <w:rFonts w:eastAsia="Times New Roman"/>
        </w:rPr>
        <w:t>‘</w:t>
      </w:r>
      <w:r w:rsidR="00F65FA6" w:rsidRPr="00F65FA6">
        <w:rPr>
          <w:rFonts w:eastAsia="Times New Roman"/>
        </w:rPr>
        <w:t>autopoietic</w:t>
      </w:r>
      <w:r w:rsidR="008E77FE">
        <w:rPr>
          <w:rFonts w:eastAsia="Times New Roman"/>
        </w:rPr>
        <w:t>’</w:t>
      </w:r>
      <w:r w:rsidR="00F65FA6" w:rsidRPr="00F65FA6">
        <w:rPr>
          <w:rFonts w:eastAsia="Times New Roman"/>
        </w:rPr>
        <w:t xml:space="preserve"> system, the operations of</w:t>
      </w:r>
      <w:r>
        <w:rPr>
          <w:rFonts w:eastAsia="Times New Roman"/>
        </w:rPr>
        <w:t xml:space="preserve"> which Luhmann calls “thoughts.”</w:t>
      </w:r>
      <w:r w:rsidR="00F65FA6" w:rsidRPr="00F65FA6">
        <w:rPr>
          <w:rFonts w:eastAsia="Times New Roman"/>
        </w:rPr>
        <w:t xml:space="preserve"> By performing operation after operation (by having thought after thought), the psychic system constructs its objects </w:t>
      </w:r>
      <w:r w:rsidR="00095B3B" w:rsidRPr="00F65FA6">
        <w:rPr>
          <w:rFonts w:eastAsia="Times New Roman"/>
        </w:rPr>
        <w:t>and, in the process,</w:t>
      </w:r>
      <w:r w:rsidR="00F65FA6" w:rsidRPr="00F65FA6">
        <w:rPr>
          <w:rFonts w:eastAsia="Times New Roman"/>
        </w:rPr>
        <w:t xml:space="preserve"> constructs itself. With his theory of psychic systems, then, Luhmann incorporates into his own thinking the post-Kantian, subject-philosophical commitment to subjects that, through the process of constructing their objects,</w:t>
      </w:r>
      <w:r>
        <w:rPr>
          <w:rFonts w:eastAsia="Times New Roman"/>
        </w:rPr>
        <w:t xml:space="preserve"> construct themselves. So, that’</w:t>
      </w:r>
      <w:r w:rsidR="00F65FA6" w:rsidRPr="00F65FA6">
        <w:rPr>
          <w:rFonts w:eastAsia="Times New Roman"/>
        </w:rPr>
        <w:t>s the first way that Luhmann moves beyond Kant</w:t>
      </w:r>
      <w:r w:rsidR="008E77FE">
        <w:rPr>
          <w:rFonts w:eastAsia="Times New Roman"/>
        </w:rPr>
        <w:t>’</w:t>
      </w:r>
      <w:r w:rsidR="00F65FA6" w:rsidRPr="00F65FA6">
        <w:rPr>
          <w:rFonts w:eastAsia="Times New Roman"/>
        </w:rPr>
        <w:t>s constructionism. He follows the post-Kantian, subject-philosophical tradition in treating subjects not just as constructors but also as self-constructions.</w:t>
      </w:r>
    </w:p>
    <w:p w14:paraId="0CCC2482" w14:textId="685D02CF" w:rsidR="00DA6975" w:rsidRDefault="00F65FA6" w:rsidP="00BF23AA">
      <w:pPr>
        <w:spacing w:line="480" w:lineRule="auto"/>
        <w:ind w:firstLine="720"/>
        <w:rPr>
          <w:rFonts w:eastAsia="Times New Roman"/>
          <w:u w:val="single"/>
        </w:rPr>
      </w:pPr>
      <w:r w:rsidRPr="00F65FA6">
        <w:rPr>
          <w:rFonts w:eastAsia="Times New Roman"/>
        </w:rPr>
        <w:t xml:space="preserve">The second way that Luhmann expands the range of constructionism moves him beyond the bounds of the subject-philosophical tradition. Specifically, he argues that subjects are not the only constructors around. Or, in his terminology, it is not just psychic systems that construct themselves and their realities; what he calls </w:t>
      </w:r>
      <w:r w:rsidR="0062398E">
        <w:rPr>
          <w:rFonts w:eastAsia="Times New Roman"/>
        </w:rPr>
        <w:t>“</w:t>
      </w:r>
      <w:r w:rsidRPr="00F65FA6">
        <w:rPr>
          <w:rFonts w:eastAsia="Times New Roman"/>
        </w:rPr>
        <w:t>social systems</w:t>
      </w:r>
      <w:r w:rsidR="0062398E">
        <w:rPr>
          <w:rFonts w:eastAsia="Times New Roman"/>
        </w:rPr>
        <w:t>”</w:t>
      </w:r>
      <w:r w:rsidRPr="00F65FA6">
        <w:rPr>
          <w:rFonts w:eastAsia="Times New Roman"/>
        </w:rPr>
        <w:t xml:space="preserve"> do this, too. To see why Luhmann expands self-construction to social systems, we can again consider his relationship to Husserl, for Luhmann treats Husserl not only as the culmination of the subject-philosophical tradition but </w:t>
      </w:r>
      <w:r w:rsidRPr="00F65FA6">
        <w:rPr>
          <w:rFonts w:eastAsia="Times New Roman"/>
        </w:rPr>
        <w:lastRenderedPageBreak/>
        <w:t>also as its cul</w:t>
      </w:r>
      <w:r w:rsidR="00095B3B">
        <w:rPr>
          <w:rFonts w:eastAsia="Times New Roman"/>
        </w:rPr>
        <w:t>-</w:t>
      </w:r>
      <w:r w:rsidRPr="00F65FA6">
        <w:rPr>
          <w:rFonts w:eastAsia="Times New Roman"/>
        </w:rPr>
        <w:t>de</w:t>
      </w:r>
      <w:r w:rsidR="00095B3B">
        <w:rPr>
          <w:rFonts w:eastAsia="Times New Roman"/>
        </w:rPr>
        <w:t>-</w:t>
      </w:r>
      <w:r w:rsidR="0062398E">
        <w:rPr>
          <w:rFonts w:eastAsia="Times New Roman"/>
        </w:rPr>
        <w:t>sac. Subject-philosophy’</w:t>
      </w:r>
      <w:r w:rsidRPr="00F65FA6">
        <w:rPr>
          <w:rFonts w:eastAsia="Times New Roman"/>
        </w:rPr>
        <w:t>s dead end, Luhmann thinks, is apparent in Husserl</w:t>
      </w:r>
      <w:r w:rsidR="008E77FE">
        <w:rPr>
          <w:rFonts w:eastAsia="Times New Roman"/>
        </w:rPr>
        <w:t>’</w:t>
      </w:r>
      <w:r w:rsidRPr="00F65FA6">
        <w:rPr>
          <w:rFonts w:eastAsia="Times New Roman"/>
        </w:rPr>
        <w:t>s failure to theorize intersubjectivity.</w:t>
      </w:r>
    </w:p>
    <w:p w14:paraId="6CC45CA3" w14:textId="3F3DBF45" w:rsidR="00DA6975" w:rsidRDefault="00F65FA6" w:rsidP="00BF23AA">
      <w:pPr>
        <w:spacing w:line="480" w:lineRule="auto"/>
        <w:ind w:firstLine="720"/>
        <w:rPr>
          <w:rFonts w:eastAsia="Times New Roman"/>
          <w:u w:val="single"/>
        </w:rPr>
      </w:pPr>
      <w:r w:rsidRPr="00F65FA6">
        <w:rPr>
          <w:rFonts w:eastAsia="Times New Roman"/>
        </w:rPr>
        <w:t xml:space="preserve">As soon as Kant makes his move, asserting that subjects construct objects, the problem of intersubjectivity arises. If subjects construct objects, how can multiple subjects participate in a shared reality of objects? For Kant, this problem is resolved by the fact that the structures of subjectivity are universal. Multiple constructing subjects can share the same reality because they have identical object-constructing equipment </w:t>
      </w:r>
      <w:r w:rsidR="00095B3B">
        <w:rPr>
          <w:rFonts w:eastAsia="Times New Roman"/>
        </w:rPr>
        <w:t>that</w:t>
      </w:r>
      <w:r w:rsidRPr="00F65FA6">
        <w:rPr>
          <w:rFonts w:eastAsia="Times New Roman"/>
        </w:rPr>
        <w:t xml:space="preserve"> guarantees that they construct identical objects. Hegel, for all his modifications of Kant, did not really eliminate this idea of a universal subjectivity. Rather, he deferred it until the end of history, until the end of the world-historical subjective process of self-construction. For both Kant and Hegel, intersubjectivity </w:t>
      </w:r>
      <w:r w:rsidR="00487142">
        <w:rPr>
          <w:rFonts w:eastAsia="Times New Roman"/>
        </w:rPr>
        <w:t>is delivered by</w:t>
      </w:r>
      <w:r w:rsidRPr="00F65FA6">
        <w:rPr>
          <w:rFonts w:eastAsia="Times New Roman"/>
        </w:rPr>
        <w:t xml:space="preserve"> universal subjectivity. For Kant, this happens outside of historical processes, for Hegel at the end of them.</w:t>
      </w:r>
    </w:p>
    <w:p w14:paraId="3CF0C774" w14:textId="1ECEBDCC" w:rsidR="00DA6975" w:rsidRDefault="0062398E" w:rsidP="00BF23AA">
      <w:pPr>
        <w:spacing w:line="480" w:lineRule="auto"/>
        <w:ind w:firstLine="720"/>
        <w:rPr>
          <w:rFonts w:eastAsia="Times New Roman"/>
          <w:u w:val="single"/>
        </w:rPr>
      </w:pPr>
      <w:r>
        <w:rPr>
          <w:rFonts w:eastAsia="Times New Roman"/>
        </w:rPr>
        <w:t>But what if we reject Hegel’</w:t>
      </w:r>
      <w:r w:rsidR="00F65FA6" w:rsidRPr="00F65FA6">
        <w:rPr>
          <w:rFonts w:eastAsia="Times New Roman"/>
        </w:rPr>
        <w:t>s idea th</w:t>
      </w:r>
      <w:r>
        <w:rPr>
          <w:rFonts w:eastAsia="Times New Roman"/>
        </w:rPr>
        <w:t>at the processes of the subject’</w:t>
      </w:r>
      <w:r w:rsidR="00F65FA6" w:rsidRPr="00F65FA6">
        <w:rPr>
          <w:rFonts w:eastAsia="Times New Roman"/>
        </w:rPr>
        <w:t>s self-construction follow a logically preordained historical path, asserting instead that each individual consciousness constructs itself in the contingent processes of its own stream of conscious</w:t>
      </w:r>
      <w:r>
        <w:rPr>
          <w:rFonts w:eastAsia="Times New Roman"/>
        </w:rPr>
        <w:t>ness? This is closer to Husserl’</w:t>
      </w:r>
      <w:r w:rsidR="00F65FA6" w:rsidRPr="00F65FA6">
        <w:rPr>
          <w:rFonts w:eastAsia="Times New Roman"/>
        </w:rPr>
        <w:t>s position, and for him the problem of intersubjectivity therefore arises in a particularly acute form. Husserl is forced to ground intersubjectivity in the contingent processes of consciousness. Having performed his analysis of consciousness strictly as a phenomenology of consciousness</w:t>
      </w:r>
      <w:r w:rsidR="00F924DF">
        <w:rPr>
          <w:rFonts w:eastAsia="Times New Roman"/>
        </w:rPr>
        <w:t xml:space="preserve"> –</w:t>
      </w:r>
      <w:r w:rsidR="00F65FA6" w:rsidRPr="00F65FA6">
        <w:rPr>
          <w:rFonts w:eastAsia="Times New Roman"/>
        </w:rPr>
        <w:t xml:space="preserve"> looking at nothing other than what happens in consciousness</w:t>
      </w:r>
      <w:r w:rsidR="00F924DF">
        <w:rPr>
          <w:rFonts w:eastAsia="Times New Roman"/>
        </w:rPr>
        <w:t xml:space="preserve"> –</w:t>
      </w:r>
      <w:r w:rsidR="00F65FA6" w:rsidRPr="00F65FA6">
        <w:rPr>
          <w:rFonts w:eastAsia="Times New Roman"/>
        </w:rPr>
        <w:t xml:space="preserve"> he is now tasked with connecting one consciousness to another to establis</w:t>
      </w:r>
      <w:r>
        <w:rPr>
          <w:rFonts w:eastAsia="Times New Roman"/>
        </w:rPr>
        <w:t>h intersubjectivity. But he can’</w:t>
      </w:r>
      <w:r w:rsidR="00F65FA6" w:rsidRPr="00F65FA6">
        <w:rPr>
          <w:rFonts w:eastAsia="Times New Roman"/>
        </w:rPr>
        <w:t>t seem to do this without violating his commitment to limit himself to an analysis of consciousness, which is</w:t>
      </w:r>
      <w:r w:rsidR="00F924DF">
        <w:rPr>
          <w:rFonts w:eastAsia="Times New Roman"/>
        </w:rPr>
        <w:t>,</w:t>
      </w:r>
      <w:r w:rsidR="00F65FA6" w:rsidRPr="00F65FA6">
        <w:rPr>
          <w:rFonts w:eastAsia="Times New Roman"/>
        </w:rPr>
        <w:t xml:space="preserve"> by definition</w:t>
      </w:r>
      <w:r w:rsidR="00F924DF">
        <w:rPr>
          <w:rFonts w:eastAsia="Times New Roman"/>
        </w:rPr>
        <w:t>,</w:t>
      </w:r>
      <w:r w:rsidR="00F65FA6" w:rsidRPr="00F65FA6">
        <w:rPr>
          <w:rFonts w:eastAsia="Times New Roman"/>
        </w:rPr>
        <w:t xml:space="preserve"> self-constructing and self-contained.</w:t>
      </w:r>
    </w:p>
    <w:p w14:paraId="49F29B53" w14:textId="062C8680" w:rsidR="00DA6975" w:rsidRDefault="0062398E" w:rsidP="00BF23AA">
      <w:pPr>
        <w:spacing w:line="480" w:lineRule="auto"/>
        <w:ind w:firstLine="720"/>
        <w:rPr>
          <w:rFonts w:eastAsia="Times New Roman"/>
          <w:u w:val="single"/>
        </w:rPr>
      </w:pPr>
      <w:r>
        <w:rPr>
          <w:rFonts w:eastAsia="Times New Roman"/>
        </w:rPr>
        <w:lastRenderedPageBreak/>
        <w:t>Luhmann interprets Husserl’</w:t>
      </w:r>
      <w:r w:rsidR="00F65FA6" w:rsidRPr="00F65FA6">
        <w:rPr>
          <w:rFonts w:eastAsia="Times New Roman"/>
        </w:rPr>
        <w:t>s failure as a condemnation of the subject-philosophical tradition as a whole. As he sees it, the problem of intersubjectivity is there from the be</w:t>
      </w:r>
      <w:r>
        <w:rPr>
          <w:rFonts w:eastAsia="Times New Roman"/>
        </w:rPr>
        <w:t>ginning, but its full force isn’</w:t>
      </w:r>
      <w:r w:rsidR="00F65FA6" w:rsidRPr="00F65FA6">
        <w:rPr>
          <w:rFonts w:eastAsia="Times New Roman"/>
        </w:rPr>
        <w:t>t clear until the last remnants of naive realism are set aside. Kant could take recourse to a priori subject realism, and Hegel could take recourse to a posteriori subject realism, but Husserl was forced to secure intersubjectiv</w:t>
      </w:r>
      <w:r w:rsidR="00E12132">
        <w:rPr>
          <w:rFonts w:eastAsia="Times New Roman"/>
        </w:rPr>
        <w:t>i</w:t>
      </w:r>
      <w:r w:rsidR="00F65FA6" w:rsidRPr="00F65FA6">
        <w:rPr>
          <w:rFonts w:eastAsia="Times New Roman"/>
        </w:rPr>
        <w:t xml:space="preserve">ty through nothing other than a phenomenology of a contingently self-constructing consciousness. So, Luhmann judges, despite the considerable success of the subject philosophical tradition in laying bare the processes of </w:t>
      </w:r>
      <w:r w:rsidR="00F924DF">
        <w:rPr>
          <w:rFonts w:eastAsia="Times New Roman"/>
        </w:rPr>
        <w:t xml:space="preserve">construction in </w:t>
      </w:r>
      <w:r w:rsidR="00F65FA6" w:rsidRPr="00F65FA6">
        <w:rPr>
          <w:rFonts w:eastAsia="Times New Roman"/>
        </w:rPr>
        <w:t>subjectivity, the tradition reaches its limit with its failure to theorize intersubjectivity in fully constructionist terms.</w:t>
      </w:r>
    </w:p>
    <w:p w14:paraId="3E5177A5" w14:textId="16FAA550" w:rsidR="00E12132" w:rsidRPr="00D56725" w:rsidRDefault="00F65FA6" w:rsidP="00BF23AA">
      <w:pPr>
        <w:spacing w:line="480" w:lineRule="auto"/>
        <w:ind w:firstLine="720"/>
        <w:rPr>
          <w:rFonts w:eastAsia="Times New Roman"/>
        </w:rPr>
      </w:pPr>
      <w:r w:rsidRPr="00F65FA6">
        <w:rPr>
          <w:rFonts w:eastAsia="Times New Roman"/>
        </w:rPr>
        <w:t>From this, Luhmann</w:t>
      </w:r>
      <w:r w:rsidR="00F924DF">
        <w:rPr>
          <w:rFonts w:eastAsia="Times New Roman"/>
        </w:rPr>
        <w:t xml:space="preserve"> </w:t>
      </w:r>
      <w:r w:rsidRPr="00F65FA6">
        <w:rPr>
          <w:rFonts w:eastAsia="Times New Roman"/>
        </w:rPr>
        <w:t>draws the following methodological conclusion. Subject-philosophy cannot theorize social reality.</w:t>
      </w:r>
      <w:r w:rsidR="00E12132">
        <w:rPr>
          <w:rStyle w:val="FootnoteReference"/>
          <w:rFonts w:eastAsia="Times New Roman"/>
        </w:rPr>
        <w:footnoteReference w:id="13"/>
      </w:r>
      <w:r w:rsidRPr="00F65FA6">
        <w:rPr>
          <w:rFonts w:eastAsia="Times New Roman"/>
        </w:rPr>
        <w:t xml:space="preserve"> Or, if we want to theorize social reality, we cannot do so on the basis of subjects. For him, this follows from consistent reflection on the very successes of the subject philosophical tradition, specifically in connection with its commitment to constructionism. Taking seriously K</w:t>
      </w:r>
      <w:r w:rsidR="0062398E">
        <w:rPr>
          <w:rFonts w:eastAsia="Times New Roman"/>
        </w:rPr>
        <w:t>ant’</w:t>
      </w:r>
      <w:r w:rsidRPr="00F65FA6">
        <w:rPr>
          <w:rFonts w:eastAsia="Times New Roman"/>
        </w:rPr>
        <w:t>s idea that subjects construct obje</w:t>
      </w:r>
      <w:r w:rsidR="0062398E">
        <w:rPr>
          <w:rFonts w:eastAsia="Times New Roman"/>
        </w:rPr>
        <w:t>cts, and taking seriously Hegel’</w:t>
      </w:r>
      <w:r w:rsidRPr="00F65FA6">
        <w:rPr>
          <w:rFonts w:eastAsia="Times New Roman"/>
        </w:rPr>
        <w:t>s idea that subjects construct themselve</w:t>
      </w:r>
      <w:r w:rsidR="0062398E">
        <w:rPr>
          <w:rFonts w:eastAsia="Times New Roman"/>
        </w:rPr>
        <w:t>s, and taking seriously Husserl’</w:t>
      </w:r>
      <w:r w:rsidRPr="00F65FA6">
        <w:rPr>
          <w:rFonts w:eastAsia="Times New Roman"/>
        </w:rPr>
        <w:t>s idea that subjects construct themselves contingently, we must conclude that intersubjectivity or social reality or society is impossibl</w:t>
      </w:r>
      <w:r w:rsidR="00F924DF">
        <w:rPr>
          <w:rFonts w:eastAsia="Times New Roman"/>
        </w:rPr>
        <w:t>e</w:t>
      </w:r>
      <w:r w:rsidRPr="00F65FA6">
        <w:rPr>
          <w:rFonts w:eastAsia="Times New Roman"/>
        </w:rPr>
        <w:t>.</w:t>
      </w:r>
    </w:p>
    <w:p w14:paraId="1177ED71" w14:textId="56C836A6" w:rsidR="00DA6975" w:rsidRPr="0062398E" w:rsidRDefault="00F65FA6" w:rsidP="0062398E">
      <w:pPr>
        <w:spacing w:line="480" w:lineRule="auto"/>
        <w:ind w:firstLine="720"/>
        <w:rPr>
          <w:rFonts w:eastAsia="Times New Roman"/>
        </w:rPr>
      </w:pPr>
      <w:r w:rsidRPr="00F65FA6">
        <w:rPr>
          <w:rFonts w:eastAsia="Times New Roman"/>
        </w:rPr>
        <w:t xml:space="preserve">Faced with the problem of social reality, one solution would be to dial back the constructionism through some modified form of realism. Maybe there really are at least some objects </w:t>
      </w:r>
      <w:r w:rsidR="0062398E">
        <w:rPr>
          <w:rFonts w:eastAsia="Times New Roman"/>
        </w:rPr>
        <w:t>“</w:t>
      </w:r>
      <w:r w:rsidRPr="00F65FA6">
        <w:rPr>
          <w:rFonts w:eastAsia="Times New Roman"/>
        </w:rPr>
        <w:t>out there.</w:t>
      </w:r>
      <w:r w:rsidR="0062398E">
        <w:rPr>
          <w:rFonts w:eastAsia="Times New Roman"/>
        </w:rPr>
        <w:t>”</w:t>
      </w:r>
      <w:r w:rsidRPr="00F65FA6">
        <w:rPr>
          <w:rFonts w:eastAsia="Times New Roman"/>
        </w:rPr>
        <w:t xml:space="preserve"> And maybe subjectivity therefore do</w:t>
      </w:r>
      <w:r w:rsidR="0062398E">
        <w:rPr>
          <w:rFonts w:eastAsia="Times New Roman"/>
        </w:rPr>
        <w:t>esn’</w:t>
      </w:r>
      <w:r w:rsidRPr="00F65FA6">
        <w:rPr>
          <w:rFonts w:eastAsia="Times New Roman"/>
        </w:rPr>
        <w:t>t entirely con</w:t>
      </w:r>
      <w:r w:rsidR="0062398E">
        <w:rPr>
          <w:rFonts w:eastAsia="Times New Roman"/>
        </w:rPr>
        <w:t>struct its objects. But Luhmann’</w:t>
      </w:r>
      <w:r w:rsidRPr="00F65FA6">
        <w:rPr>
          <w:rFonts w:eastAsia="Times New Roman"/>
        </w:rPr>
        <w:t xml:space="preserve">s strategy is the opposite. He doubles down on constructionism, extending processes of </w:t>
      </w:r>
      <w:r w:rsidRPr="00F65FA6">
        <w:rPr>
          <w:rFonts w:eastAsia="Times New Roman"/>
        </w:rPr>
        <w:lastRenderedPageBreak/>
        <w:t>self-construction beyond subjects or psychic systems, seeing them at work also in what he calls social systems or communicative systems.</w:t>
      </w:r>
      <w:r w:rsidR="00A70E5C">
        <w:rPr>
          <w:rStyle w:val="FootnoteReference"/>
          <w:rFonts w:eastAsia="Times New Roman"/>
        </w:rPr>
        <w:footnoteReference w:id="14"/>
      </w:r>
      <w:r w:rsidR="0062398E">
        <w:rPr>
          <w:rFonts w:eastAsia="Times New Roman"/>
        </w:rPr>
        <w:t xml:space="preserve"> This, then, is Luhmann’s second modification of Kant’</w:t>
      </w:r>
      <w:r w:rsidRPr="00F65FA6">
        <w:rPr>
          <w:rFonts w:eastAsia="Times New Roman"/>
        </w:rPr>
        <w:t>s constructionism. The first, again, is to follow the post-Kantian tradition in seeing subjects not only as constructing objects but also as constructing themselves. The second is to extend self-construction processes beyond subjects and into social systems.</w:t>
      </w:r>
    </w:p>
    <w:p w14:paraId="032F9E88" w14:textId="735E3F4A" w:rsidR="00DA6975" w:rsidRDefault="00F65FA6" w:rsidP="00BF23AA">
      <w:pPr>
        <w:spacing w:line="480" w:lineRule="auto"/>
        <w:ind w:firstLine="720"/>
        <w:rPr>
          <w:rFonts w:eastAsia="Times New Roman"/>
          <w:u w:val="single"/>
        </w:rPr>
      </w:pPr>
      <w:r w:rsidRPr="00F65FA6">
        <w:rPr>
          <w:rFonts w:eastAsia="Times New Roman"/>
        </w:rPr>
        <w:t>It is probably helpful here quickly to characterize what Luhmann means by a social system. For him, the defining character of social reality is communication</w:t>
      </w:r>
      <w:r w:rsidR="00F924DF">
        <w:rPr>
          <w:rFonts w:eastAsia="Times New Roman"/>
        </w:rPr>
        <w:t>; s</w:t>
      </w:r>
      <w:r w:rsidRPr="00F65FA6">
        <w:rPr>
          <w:rFonts w:eastAsia="Times New Roman"/>
        </w:rPr>
        <w:t>ocial processes are communicative processes. Social systems, then, can also be described as communicative systems. And, according to Luhmann, wherever communication occurs, there emerges a social system. Social systems can range from the simple and short lived (e.g., a quick chat between two people) to the complex and long lasting (e.g., large organizations). When Luhmann says social systems construct themselves, he is saying that conversations, organizations, etc., constitute their objects and themselves through the</w:t>
      </w:r>
      <w:r w:rsidR="00D56725">
        <w:rPr>
          <w:rFonts w:eastAsia="Times New Roman"/>
        </w:rPr>
        <w:t>ir</w:t>
      </w:r>
      <w:r w:rsidRPr="00F65FA6">
        <w:rPr>
          <w:rFonts w:eastAsia="Times New Roman"/>
        </w:rPr>
        <w:t xml:space="preserve"> own processes, just as subjects or psychic systems do. The main difference between psychic and social systems is the kind of operation involved. Psychic systems operate with thoughts, whereas social systems operate with communications.</w:t>
      </w:r>
      <w:r w:rsidR="00F96EC0">
        <w:rPr>
          <w:rStyle w:val="FootnoteReference"/>
          <w:rFonts w:eastAsia="Times New Roman"/>
        </w:rPr>
        <w:footnoteReference w:id="15"/>
      </w:r>
    </w:p>
    <w:p w14:paraId="5451C4C5" w14:textId="70D28257" w:rsidR="00DA6975" w:rsidRDefault="0062398E" w:rsidP="00BF23AA">
      <w:pPr>
        <w:spacing w:line="480" w:lineRule="auto"/>
        <w:ind w:firstLine="720"/>
        <w:rPr>
          <w:rFonts w:eastAsia="Times New Roman"/>
          <w:u w:val="single"/>
        </w:rPr>
      </w:pPr>
      <w:r>
        <w:rPr>
          <w:rFonts w:eastAsia="Times New Roman"/>
        </w:rPr>
        <w:t>Luhmann’</w:t>
      </w:r>
      <w:r w:rsidR="00F65FA6" w:rsidRPr="00F65FA6">
        <w:rPr>
          <w:rFonts w:eastAsia="Times New Roman"/>
        </w:rPr>
        <w:t xml:space="preserve">s extension of self-construction processes into social systems is likely to be met with many skeptical objections </w:t>
      </w:r>
      <w:r>
        <w:rPr>
          <w:rFonts w:eastAsia="Times New Roman"/>
        </w:rPr>
        <w:t>that can</w:t>
      </w:r>
      <w:r w:rsidR="008E77FE">
        <w:rPr>
          <w:rFonts w:eastAsia="Times New Roman"/>
        </w:rPr>
        <w:t>’</w:t>
      </w:r>
      <w:r>
        <w:rPr>
          <w:rFonts w:eastAsia="Times New Roman"/>
        </w:rPr>
        <w:t>t be discussed here. I’</w:t>
      </w:r>
      <w:r w:rsidR="00F65FA6" w:rsidRPr="00F65FA6">
        <w:rPr>
          <w:rFonts w:eastAsia="Times New Roman"/>
        </w:rPr>
        <w:t xml:space="preserve">ll just mention two reasons why Luhmann makes this theoretical move. First, he is encouraged by the success of interdisciplinary systems thinking, which in the mid-twentieth century saw complex and self-constructing systems </w:t>
      </w:r>
      <w:r w:rsidR="00870903">
        <w:rPr>
          <w:rFonts w:eastAsia="Times New Roman"/>
        </w:rPr>
        <w:lastRenderedPageBreak/>
        <w:t xml:space="preserve">in many places other than subjectivity or consciousness. </w:t>
      </w:r>
      <w:r w:rsidR="00F65FA6" w:rsidRPr="00F65FA6">
        <w:rPr>
          <w:rFonts w:eastAsia="Times New Roman"/>
        </w:rPr>
        <w:t>In biology, mathematics, physics, information science, early computer science, and elsewhere, theorizing embraced the idea of self-constructive processes. This encourages Luhmann to theorize social systems in these terms.</w:t>
      </w:r>
      <w:r w:rsidR="004E2B30">
        <w:rPr>
          <w:rStyle w:val="FootnoteReference"/>
          <w:rFonts w:eastAsia="Times New Roman"/>
        </w:rPr>
        <w:footnoteReference w:id="16"/>
      </w:r>
    </w:p>
    <w:p w14:paraId="7C538925" w14:textId="3394B62F" w:rsidR="00DA6975" w:rsidRDefault="00F65FA6" w:rsidP="00BF23AA">
      <w:pPr>
        <w:spacing w:line="480" w:lineRule="auto"/>
        <w:ind w:firstLine="720"/>
        <w:rPr>
          <w:rFonts w:eastAsia="Times New Roman"/>
          <w:u w:val="single"/>
        </w:rPr>
      </w:pPr>
      <w:r w:rsidRPr="00F65FA6">
        <w:rPr>
          <w:rFonts w:eastAsia="Times New Roman"/>
        </w:rPr>
        <w:t>The second thing that bolst</w:t>
      </w:r>
      <w:r w:rsidR="0062398E">
        <w:rPr>
          <w:rFonts w:eastAsia="Times New Roman"/>
        </w:rPr>
        <w:t>ers the plausibility of Luhmann’</w:t>
      </w:r>
      <w:r w:rsidRPr="00F65FA6">
        <w:rPr>
          <w:rFonts w:eastAsia="Times New Roman"/>
        </w:rPr>
        <w:t xml:space="preserve">s move is that it seems to work analytically. It seems to work to treat social or communicative systems as self-constructing, to theorize them largely the same way that Husserl </w:t>
      </w:r>
      <w:r w:rsidR="0062398E">
        <w:rPr>
          <w:rFonts w:eastAsia="Times New Roman"/>
        </w:rPr>
        <w:t>theorizes</w:t>
      </w:r>
      <w:r w:rsidRPr="00F65FA6">
        <w:rPr>
          <w:rFonts w:eastAsia="Times New Roman"/>
        </w:rPr>
        <w:t xml:space="preserve"> consciousness, once you swap out thoughts for communications. Like thoughts in a consciousness, communications in a social system link to other communications and attain a certain complexity in which they refer to themselves as well as their objects. So, this way of thinking seems to work.</w:t>
      </w:r>
    </w:p>
    <w:p w14:paraId="08A97586" w14:textId="2D6E69B0" w:rsidR="00DA6975" w:rsidRDefault="00DA6975" w:rsidP="00BF23AA">
      <w:pPr>
        <w:spacing w:line="480" w:lineRule="auto"/>
        <w:ind w:firstLine="720"/>
        <w:rPr>
          <w:rFonts w:eastAsia="Times New Roman"/>
          <w:u w:val="single"/>
        </w:rPr>
      </w:pPr>
      <w:r w:rsidRPr="00F65FA6">
        <w:rPr>
          <w:rFonts w:eastAsia="Times New Roman"/>
        </w:rPr>
        <w:t>And</w:t>
      </w:r>
      <w:r w:rsidR="00F65FA6" w:rsidRPr="00F65FA6">
        <w:rPr>
          <w:rFonts w:eastAsia="Times New Roman"/>
        </w:rPr>
        <w:t xml:space="preserve"> remember, some kind of innovative theoretical move is required if, in fact, the subject-philosophical tradition of constructionism </w:t>
      </w:r>
      <w:r w:rsidR="00870903">
        <w:rPr>
          <w:rFonts w:eastAsia="Times New Roman"/>
        </w:rPr>
        <w:t>does run</w:t>
      </w:r>
      <w:r w:rsidR="00F65FA6" w:rsidRPr="00F65FA6">
        <w:rPr>
          <w:rFonts w:eastAsia="Times New Roman"/>
        </w:rPr>
        <w:t xml:space="preserve"> aground on intersubjectivity. Society cannot be analyzed in terms of subjects interacting.</w:t>
      </w:r>
      <w:r w:rsidR="00A07DE7">
        <w:rPr>
          <w:rStyle w:val="FootnoteReference"/>
          <w:rFonts w:eastAsia="Times New Roman"/>
        </w:rPr>
        <w:footnoteReference w:id="17"/>
      </w:r>
      <w:r w:rsidR="00F65FA6" w:rsidRPr="00F65FA6">
        <w:rPr>
          <w:rFonts w:eastAsia="Times New Roman"/>
        </w:rPr>
        <w:t xml:space="preserve"> So, to continue the constructionist project into sociological analysis, Luhmann argues, social systems must be analyzed on their own terms, as constructing themselves out of themselves.</w:t>
      </w:r>
    </w:p>
    <w:p w14:paraId="7D6A4300" w14:textId="7A40FE7B" w:rsidR="00DA6975" w:rsidRDefault="00F65FA6" w:rsidP="00BF23AA">
      <w:pPr>
        <w:spacing w:line="480" w:lineRule="auto"/>
        <w:ind w:firstLine="720"/>
        <w:rPr>
          <w:rFonts w:eastAsia="Times New Roman"/>
          <w:u w:val="single"/>
        </w:rPr>
      </w:pPr>
      <w:r w:rsidRPr="00F65FA6">
        <w:rPr>
          <w:rFonts w:eastAsia="Times New Roman"/>
        </w:rPr>
        <w:t>To summarize, Luhmann extends constructionism further than Kant in two ways. First, he follows the later subject-philosophical tradition in treating subjects not just as the constructors of objects but also as self-constructions. Second, he moves beyond the subject-philosophical tradition as a whole by arguing that social systems, not just subjects, construct themselves.</w:t>
      </w:r>
    </w:p>
    <w:p w14:paraId="3E77A4DF" w14:textId="5457E7E5" w:rsidR="00564817" w:rsidRDefault="00F65FA6" w:rsidP="00BF23AA">
      <w:pPr>
        <w:spacing w:line="480" w:lineRule="auto"/>
        <w:ind w:firstLine="720"/>
        <w:rPr>
          <w:rFonts w:eastAsia="Times New Roman"/>
          <w:u w:val="single"/>
        </w:rPr>
      </w:pPr>
      <w:r w:rsidRPr="00F65FA6">
        <w:rPr>
          <w:rFonts w:eastAsia="Times New Roman"/>
        </w:rPr>
        <w:lastRenderedPageBreak/>
        <w:t>At this point, I hope it is clear why I say that, from Lu</w:t>
      </w:r>
      <w:r w:rsidR="0062398E">
        <w:rPr>
          <w:rFonts w:eastAsia="Times New Roman"/>
        </w:rPr>
        <w:t>hmann’</w:t>
      </w:r>
      <w:r w:rsidRPr="00F65FA6">
        <w:rPr>
          <w:rFonts w:eastAsia="Times New Roman"/>
        </w:rPr>
        <w:t xml:space="preserve">s theoretical position, the Kantian kind of constructionism </w:t>
      </w:r>
      <w:r w:rsidR="00487142">
        <w:rPr>
          <w:rFonts w:eastAsia="Times New Roman"/>
        </w:rPr>
        <w:t xml:space="preserve">often </w:t>
      </w:r>
      <w:r w:rsidRPr="00F65FA6">
        <w:rPr>
          <w:rFonts w:eastAsia="Times New Roman"/>
        </w:rPr>
        <w:t xml:space="preserve">on offer in critical religious studies </w:t>
      </w:r>
      <w:r w:rsidR="00A07DE7">
        <w:rPr>
          <w:rFonts w:eastAsia="Times New Roman"/>
        </w:rPr>
        <w:t>is not</w:t>
      </w:r>
      <w:r w:rsidRPr="00F65FA6">
        <w:rPr>
          <w:rFonts w:eastAsia="Times New Roman"/>
        </w:rPr>
        <w:t xml:space="preserve"> very thoroughgoing. The idea that objects of knowledge are constructed is </w:t>
      </w:r>
      <w:r w:rsidR="00A07DE7" w:rsidRPr="00F65FA6">
        <w:rPr>
          <w:rFonts w:eastAsia="Times New Roman"/>
        </w:rPr>
        <w:t>just</w:t>
      </w:r>
      <w:r w:rsidRPr="00F65FA6">
        <w:rPr>
          <w:rFonts w:eastAsia="Times New Roman"/>
        </w:rPr>
        <w:t xml:space="preserve"> the beginning of a constructionist tradition. A consistent theorizing of constructionism, Luhmann thinks, brings us far beyond Kant. Yes, objects are constructed. But so are subjects. And so are social systems and their objects.</w:t>
      </w:r>
      <w:r w:rsidR="00A07DE7">
        <w:rPr>
          <w:rFonts w:eastAsia="Times New Roman"/>
        </w:rPr>
        <w:t xml:space="preserve"> Theorizing must take all these construction processes into account.</w:t>
      </w:r>
    </w:p>
    <w:p w14:paraId="7C7B6631" w14:textId="60290F12" w:rsidR="00564817" w:rsidRDefault="00F65FA6" w:rsidP="00BF23AA">
      <w:pPr>
        <w:spacing w:line="480" w:lineRule="auto"/>
        <w:ind w:firstLine="720"/>
        <w:rPr>
          <w:rFonts w:eastAsia="Times New Roman"/>
          <w:u w:val="single"/>
        </w:rPr>
      </w:pPr>
      <w:r w:rsidRPr="00F65FA6">
        <w:rPr>
          <w:rFonts w:eastAsia="Times New Roman"/>
        </w:rPr>
        <w:t>Before mo</w:t>
      </w:r>
      <w:r w:rsidR="0062398E">
        <w:rPr>
          <w:rFonts w:eastAsia="Times New Roman"/>
        </w:rPr>
        <w:t>ving on to consider how Luhmann’</w:t>
      </w:r>
      <w:r w:rsidRPr="00F65FA6">
        <w:rPr>
          <w:rFonts w:eastAsia="Times New Roman"/>
        </w:rPr>
        <w:t>s more thoroughgoing constructionism changes how we understand religion, let me emphasize the implications of his</w:t>
      </w:r>
      <w:r w:rsidR="0062398E">
        <w:rPr>
          <w:rFonts w:eastAsia="Times New Roman"/>
        </w:rPr>
        <w:t xml:space="preserve"> analysis of subject philosophy’</w:t>
      </w:r>
      <w:r w:rsidRPr="00F65FA6">
        <w:rPr>
          <w:rFonts w:eastAsia="Times New Roman"/>
        </w:rPr>
        <w:t xml:space="preserve">s inability to solve the problem of intersubjectivity. Broadly speaking, the implication is that, if we want to talk about social realities and not just objects of knowledge (and I would suggest that religion fits this bill), then we cannot continue to talk about such things simply as if they were objects of knowledge. </w:t>
      </w:r>
      <w:r w:rsidR="008E77FE">
        <w:rPr>
          <w:rFonts w:eastAsia="Times New Roman"/>
        </w:rPr>
        <w:t>Put otherwise</w:t>
      </w:r>
      <w:r w:rsidRPr="00F65FA6">
        <w:rPr>
          <w:rFonts w:eastAsia="Times New Roman"/>
        </w:rPr>
        <w:t>, we need explicitly to make a theoretical transition from the philosophical-epistemological mode of analysis into social analysis.</w:t>
      </w:r>
    </w:p>
    <w:p w14:paraId="3B9D20CF" w14:textId="090EE4C3" w:rsidR="00564817" w:rsidRDefault="00F65FA6" w:rsidP="00BF23AA">
      <w:pPr>
        <w:spacing w:line="480" w:lineRule="auto"/>
        <w:ind w:firstLine="720"/>
        <w:rPr>
          <w:rFonts w:eastAsia="Times New Roman"/>
          <w:u w:val="single"/>
        </w:rPr>
      </w:pPr>
      <w:r w:rsidRPr="00F65FA6">
        <w:rPr>
          <w:rFonts w:eastAsia="Times New Roman"/>
        </w:rPr>
        <w:t>To put this same point another way, theorizing social realities requires self-consciously moving beyond the subject-object model, which ends up being too simple for social analysis.</w:t>
      </w:r>
      <w:r w:rsidR="00015CE1">
        <w:rPr>
          <w:rStyle w:val="FootnoteReference"/>
          <w:rFonts w:eastAsia="Times New Roman"/>
        </w:rPr>
        <w:footnoteReference w:id="18"/>
      </w:r>
      <w:r w:rsidRPr="00F65FA6">
        <w:rPr>
          <w:rFonts w:eastAsia="Times New Roman"/>
        </w:rPr>
        <w:t xml:space="preserve"> Social realities cannot be slotted into the binary of subject-object</w:t>
      </w:r>
      <w:r w:rsidR="00487142">
        <w:rPr>
          <w:rFonts w:eastAsia="Times New Roman"/>
        </w:rPr>
        <w:t>. But this is precisely what happens if we talk about scholars constructing the object of religion without attending to other processes of construction.</w:t>
      </w:r>
    </w:p>
    <w:p w14:paraId="2B757B8C" w14:textId="77777777" w:rsidR="00564817" w:rsidRDefault="00564817" w:rsidP="00BF23AA">
      <w:pPr>
        <w:spacing w:line="480" w:lineRule="auto"/>
        <w:ind w:firstLine="720"/>
        <w:rPr>
          <w:rFonts w:eastAsia="Times New Roman"/>
          <w:u w:val="single"/>
        </w:rPr>
      </w:pPr>
    </w:p>
    <w:p w14:paraId="337AE8E8" w14:textId="4B689916" w:rsidR="00564817" w:rsidRPr="00600034" w:rsidRDefault="0062398E" w:rsidP="00BF23AA">
      <w:pPr>
        <w:spacing w:line="480" w:lineRule="auto"/>
        <w:ind w:firstLine="720"/>
        <w:rPr>
          <w:rFonts w:eastAsia="Times New Roman"/>
          <w:i/>
          <w:iCs/>
          <w:u w:val="single"/>
        </w:rPr>
      </w:pPr>
      <w:r>
        <w:rPr>
          <w:rFonts w:eastAsia="Times New Roman"/>
          <w:i/>
          <w:iCs/>
        </w:rPr>
        <w:lastRenderedPageBreak/>
        <w:t xml:space="preserve">The Constructed </w:t>
      </w:r>
      <w:r w:rsidR="008E77FE">
        <w:rPr>
          <w:rFonts w:eastAsia="Times New Roman"/>
          <w:i/>
          <w:iCs/>
        </w:rPr>
        <w:t xml:space="preserve">and Constructing </w:t>
      </w:r>
      <w:r>
        <w:rPr>
          <w:rFonts w:eastAsia="Times New Roman"/>
          <w:i/>
          <w:iCs/>
        </w:rPr>
        <w:t>C</w:t>
      </w:r>
      <w:r w:rsidR="00564817" w:rsidRPr="00600034">
        <w:rPr>
          <w:rFonts w:eastAsia="Times New Roman"/>
          <w:i/>
          <w:iCs/>
        </w:rPr>
        <w:t xml:space="preserve">haracter of </w:t>
      </w:r>
      <w:r>
        <w:rPr>
          <w:rFonts w:eastAsia="Times New Roman"/>
          <w:i/>
          <w:iCs/>
        </w:rPr>
        <w:t>R</w:t>
      </w:r>
      <w:r w:rsidR="00F65FA6" w:rsidRPr="00600034">
        <w:rPr>
          <w:rFonts w:eastAsia="Times New Roman"/>
          <w:i/>
          <w:iCs/>
        </w:rPr>
        <w:t>eligion</w:t>
      </w:r>
    </w:p>
    <w:p w14:paraId="49834D4C" w14:textId="77777777" w:rsidR="00564817" w:rsidRDefault="00F65FA6" w:rsidP="00BF23AA">
      <w:pPr>
        <w:spacing w:line="480" w:lineRule="auto"/>
        <w:ind w:firstLine="720"/>
        <w:rPr>
          <w:rFonts w:eastAsia="Times New Roman"/>
          <w:u w:val="single"/>
        </w:rPr>
      </w:pPr>
      <w:r w:rsidRPr="00F65FA6">
        <w:rPr>
          <w:rFonts w:eastAsia="Times New Roman"/>
        </w:rPr>
        <w:t>Let me turn now to religion. If we assume a Kantian style of constructionism, religion needs to be considered either as a subject or as an object. Within the appropriation of Kantian constructionism within critical religious studies, religion is generally treated as an object.</w:t>
      </w:r>
    </w:p>
    <w:p w14:paraId="78D0D415" w14:textId="47097CCC" w:rsidR="00564817" w:rsidRDefault="00F65FA6" w:rsidP="00BF23AA">
      <w:pPr>
        <w:spacing w:line="480" w:lineRule="auto"/>
        <w:ind w:firstLine="720"/>
        <w:rPr>
          <w:rFonts w:eastAsia="Times New Roman"/>
          <w:u w:val="single"/>
        </w:rPr>
      </w:pPr>
      <w:r w:rsidRPr="00F65FA6">
        <w:rPr>
          <w:rFonts w:eastAsia="Times New Roman"/>
        </w:rPr>
        <w:t xml:space="preserve">From the perspective of a thoroughgoing Luhmannian constructionism, we would instead start by saying that religion is a social system. Religion is for Luhmann a particular kind of social or communicative </w:t>
      </w:r>
      <w:r w:rsidR="00D518C0">
        <w:rPr>
          <w:rFonts w:eastAsia="Times New Roman"/>
        </w:rPr>
        <w:t>process</w:t>
      </w:r>
      <w:r w:rsidRPr="00F65FA6">
        <w:rPr>
          <w:rFonts w:eastAsia="Times New Roman"/>
        </w:rPr>
        <w:t xml:space="preserve"> characterized by certain communicative patterns.</w:t>
      </w:r>
      <w:r w:rsidR="00D518C0">
        <w:rPr>
          <w:rStyle w:val="FootnoteReference"/>
          <w:rFonts w:eastAsia="Times New Roman"/>
        </w:rPr>
        <w:footnoteReference w:id="19"/>
      </w:r>
      <w:r w:rsidRPr="00F65FA6">
        <w:rPr>
          <w:rFonts w:eastAsia="Times New Roman"/>
        </w:rPr>
        <w:t xml:space="preserve"> Religion, then, constructs itself through the communicative input of those psychic systems that participate in those communicative patterns. The initial Luhmannian move, then, would be to treat religion not as an object but as a self-constructing social system.</w:t>
      </w:r>
    </w:p>
    <w:p w14:paraId="37ACBB7C" w14:textId="77777777" w:rsidR="0065449F" w:rsidRDefault="00F65FA6" w:rsidP="00BF23AA">
      <w:pPr>
        <w:spacing w:line="480" w:lineRule="auto"/>
        <w:ind w:firstLine="720"/>
        <w:rPr>
          <w:rFonts w:eastAsia="Times New Roman"/>
        </w:rPr>
      </w:pPr>
      <w:r w:rsidRPr="00F65FA6">
        <w:rPr>
          <w:rFonts w:eastAsia="Times New Roman"/>
        </w:rPr>
        <w:t xml:space="preserve">Now, Luhmann affirms that religion </w:t>
      </w:r>
      <w:r w:rsidR="0065449F">
        <w:rPr>
          <w:rFonts w:eastAsia="Times New Roman"/>
        </w:rPr>
        <w:t>can</w:t>
      </w:r>
      <w:r w:rsidRPr="00F65FA6">
        <w:rPr>
          <w:rFonts w:eastAsia="Times New Roman"/>
        </w:rPr>
        <w:t xml:space="preserve"> also </w:t>
      </w:r>
      <w:r w:rsidR="0065449F">
        <w:rPr>
          <w:rFonts w:eastAsia="Times New Roman"/>
        </w:rPr>
        <w:t>be</w:t>
      </w:r>
      <w:r w:rsidRPr="00F65FA6">
        <w:rPr>
          <w:rFonts w:eastAsia="Times New Roman"/>
        </w:rPr>
        <w:t xml:space="preserve"> object of knowledge. It is such when, for example, scholars of religion attend to religion through their disciplinary lenses. </w:t>
      </w:r>
      <w:r w:rsidR="0065449F">
        <w:rPr>
          <w:rFonts w:eastAsia="Times New Roman"/>
        </w:rPr>
        <w:t>When this happens,</w:t>
      </w:r>
      <w:r w:rsidRPr="00F65FA6">
        <w:rPr>
          <w:rFonts w:eastAsia="Times New Roman"/>
        </w:rPr>
        <w:t xml:space="preserve"> scholars of religion construct religion as an object of knowledge. So, depending on the perspective</w:t>
      </w:r>
      <w:r w:rsidR="00D518C0">
        <w:rPr>
          <w:rFonts w:eastAsia="Times New Roman"/>
        </w:rPr>
        <w:t xml:space="preserve"> of theoretical analysis</w:t>
      </w:r>
      <w:r w:rsidRPr="00F65FA6">
        <w:rPr>
          <w:rFonts w:eastAsia="Times New Roman"/>
        </w:rPr>
        <w:t xml:space="preserve">, religion can be considered </w:t>
      </w:r>
      <w:r w:rsidR="0065449F">
        <w:rPr>
          <w:rFonts w:eastAsia="Times New Roman"/>
        </w:rPr>
        <w:t xml:space="preserve">as </w:t>
      </w:r>
      <w:r w:rsidRPr="00F65FA6">
        <w:rPr>
          <w:rFonts w:eastAsia="Times New Roman"/>
        </w:rPr>
        <w:t xml:space="preserve">a self-constructing system </w:t>
      </w:r>
      <w:r w:rsidR="0065449F">
        <w:rPr>
          <w:rFonts w:eastAsia="Times New Roman"/>
        </w:rPr>
        <w:t>or</w:t>
      </w:r>
      <w:r w:rsidRPr="00F65FA6">
        <w:rPr>
          <w:rFonts w:eastAsia="Times New Roman"/>
        </w:rPr>
        <w:t xml:space="preserve"> </w:t>
      </w:r>
      <w:r w:rsidR="0065449F">
        <w:rPr>
          <w:rFonts w:eastAsia="Times New Roman"/>
        </w:rPr>
        <w:t>as an</w:t>
      </w:r>
      <w:r w:rsidRPr="00F65FA6">
        <w:rPr>
          <w:rFonts w:eastAsia="Times New Roman"/>
        </w:rPr>
        <w:t xml:space="preserve"> object </w:t>
      </w:r>
      <w:r w:rsidR="0065449F">
        <w:rPr>
          <w:rFonts w:eastAsia="Times New Roman"/>
        </w:rPr>
        <w:t>constructed through scholarship.</w:t>
      </w:r>
    </w:p>
    <w:p w14:paraId="49B75D64" w14:textId="348F0555" w:rsidR="00564817" w:rsidRDefault="00F65FA6" w:rsidP="00BF23AA">
      <w:pPr>
        <w:spacing w:line="480" w:lineRule="auto"/>
        <w:ind w:firstLine="720"/>
        <w:rPr>
          <w:rFonts w:eastAsia="Times New Roman"/>
          <w:u w:val="single"/>
        </w:rPr>
      </w:pPr>
      <w:r w:rsidRPr="00F65FA6">
        <w:rPr>
          <w:rFonts w:eastAsia="Times New Roman"/>
        </w:rPr>
        <w:t xml:space="preserve">But this scholarly construction of religion must be considered a second order of construction, the construction of a construction. </w:t>
      </w:r>
      <w:r w:rsidR="0065449F">
        <w:rPr>
          <w:rFonts w:eastAsia="Times New Roman"/>
        </w:rPr>
        <w:t xml:space="preserve">Scholars of religion construct as an object of knowledge a social system which constructs itself. </w:t>
      </w:r>
      <w:r w:rsidRPr="00F65FA6">
        <w:rPr>
          <w:rFonts w:eastAsia="Times New Roman"/>
        </w:rPr>
        <w:t xml:space="preserve">Yes, scholars construct their objects of study. But in the case of social realities, </w:t>
      </w:r>
      <w:r w:rsidR="00A009F4">
        <w:rPr>
          <w:rFonts w:eastAsia="Times New Roman"/>
        </w:rPr>
        <w:t>such as</w:t>
      </w:r>
      <w:r w:rsidRPr="00F65FA6">
        <w:rPr>
          <w:rFonts w:eastAsia="Times New Roman"/>
        </w:rPr>
        <w:t xml:space="preserve"> religion, scholarly construction is second-order construction.</w:t>
      </w:r>
    </w:p>
    <w:p w14:paraId="1ABAC989" w14:textId="5682F2C6" w:rsidR="0062398E" w:rsidRPr="008E77FE" w:rsidRDefault="00600034" w:rsidP="008E77FE">
      <w:pPr>
        <w:spacing w:line="480" w:lineRule="auto"/>
        <w:ind w:firstLine="720"/>
        <w:rPr>
          <w:rFonts w:eastAsia="Times New Roman"/>
        </w:rPr>
      </w:pPr>
      <w:r>
        <w:rPr>
          <w:rFonts w:eastAsia="Times New Roman"/>
        </w:rPr>
        <w:lastRenderedPageBreak/>
        <w:t>Given</w:t>
      </w:r>
      <w:r w:rsidR="00F65FA6" w:rsidRPr="00F65FA6">
        <w:rPr>
          <w:rFonts w:eastAsia="Times New Roman"/>
        </w:rPr>
        <w:t xml:space="preserve"> a Luhmannian, thoroughgoing constructionism, </w:t>
      </w:r>
      <w:r w:rsidR="0065449F">
        <w:rPr>
          <w:rFonts w:eastAsia="Times New Roman"/>
        </w:rPr>
        <w:t xml:space="preserve">then, </w:t>
      </w:r>
      <w:r w:rsidR="00F65FA6" w:rsidRPr="00F65FA6">
        <w:rPr>
          <w:rFonts w:eastAsia="Times New Roman"/>
        </w:rPr>
        <w:t xml:space="preserve">the idea </w:t>
      </w:r>
      <w:r w:rsidR="00D518C0">
        <w:rPr>
          <w:rFonts w:eastAsia="Times New Roman"/>
        </w:rPr>
        <w:t>that</w:t>
      </w:r>
      <w:r w:rsidR="00F65FA6" w:rsidRPr="00F65FA6">
        <w:rPr>
          <w:rFonts w:eastAsia="Times New Roman"/>
        </w:rPr>
        <w:t xml:space="preserve"> scholars construct religion as an object is not wrong but incomplete. And it is incomplete because the logic of construction has not been pursued in a rigorous and thorough way. </w:t>
      </w:r>
      <w:r w:rsidR="001B1605">
        <w:rPr>
          <w:rFonts w:eastAsia="Times New Roman"/>
        </w:rPr>
        <w:t>In other words, there is in critical religious studies a widespread eagerness to point out that religion is constructed. But, the question might be posed from the perspective of a thoroughgoing Luhmannian constructionist perspective, what would critical religious studies look like if it followed through theoretically with the logic of construction?</w:t>
      </w:r>
      <w:r w:rsidR="001B1605">
        <w:rPr>
          <w:rStyle w:val="FootnoteReference"/>
          <w:rFonts w:eastAsia="Times New Roman"/>
        </w:rPr>
        <w:footnoteReference w:id="20"/>
      </w:r>
    </w:p>
    <w:p w14:paraId="5F239FA2" w14:textId="1D8A1CE3" w:rsidR="005D1054" w:rsidRDefault="005D1054" w:rsidP="001B1605">
      <w:pPr>
        <w:spacing w:line="480" w:lineRule="auto"/>
        <w:ind w:firstLine="720"/>
        <w:rPr>
          <w:rFonts w:eastAsia="Times New Roman"/>
        </w:rPr>
      </w:pPr>
      <w:r>
        <w:rPr>
          <w:rFonts w:eastAsia="Times New Roman"/>
        </w:rPr>
        <w:br w:type="page"/>
      </w:r>
    </w:p>
    <w:p w14:paraId="5557F5F8" w14:textId="0260C652" w:rsidR="00730218" w:rsidRPr="00730218" w:rsidRDefault="00730218" w:rsidP="00730218">
      <w:pPr>
        <w:pStyle w:val="Bibliography"/>
      </w:pPr>
      <w:r w:rsidRPr="00730218">
        <w:lastRenderedPageBreak/>
        <w:t xml:space="preserve">Braver, Lee. </w:t>
      </w:r>
      <w:r w:rsidRPr="00730218">
        <w:rPr>
          <w:i/>
          <w:iCs/>
        </w:rPr>
        <w:t>A Thing of This World: A History of Continental Anti-Realism</w:t>
      </w:r>
      <w:r w:rsidRPr="00730218">
        <w:t>. Evanston, Ill: Northwestern University Press, 2007.</w:t>
      </w:r>
    </w:p>
    <w:p w14:paraId="2A840AA1" w14:textId="77777777" w:rsidR="00730218" w:rsidRPr="00730218" w:rsidRDefault="00730218" w:rsidP="00730218">
      <w:pPr>
        <w:pStyle w:val="Bibliography"/>
      </w:pPr>
      <w:r w:rsidRPr="00730218">
        <w:t xml:space="preserve">DeJonge, Michael P. “People Doing Things: Residual Subject Realism in the Study of Religion.” </w:t>
      </w:r>
      <w:r w:rsidRPr="00730218">
        <w:rPr>
          <w:i/>
          <w:iCs/>
        </w:rPr>
        <w:t>Journal of the American Academy of Religion</w:t>
      </w:r>
      <w:r w:rsidRPr="00730218">
        <w:t xml:space="preserve"> 90, no. 1 (2022): 26–51.</w:t>
      </w:r>
    </w:p>
    <w:p w14:paraId="26988CAB" w14:textId="77777777" w:rsidR="00730218" w:rsidRPr="00730218" w:rsidRDefault="00730218" w:rsidP="00730218">
      <w:pPr>
        <w:pStyle w:val="Bibliography"/>
      </w:pPr>
      <w:r w:rsidRPr="00730218">
        <w:t xml:space="preserve">Engler, Steven. “Constructionism versus What?” </w:t>
      </w:r>
      <w:r w:rsidRPr="00730218">
        <w:rPr>
          <w:i/>
          <w:iCs/>
        </w:rPr>
        <w:t>Religion</w:t>
      </w:r>
      <w:r w:rsidRPr="00730218">
        <w:t xml:space="preserve"> 34, no. 4 (2004): 291–313.</w:t>
      </w:r>
    </w:p>
    <w:p w14:paraId="45594F37" w14:textId="77777777" w:rsidR="00730218" w:rsidRPr="00730218" w:rsidRDefault="00730218" w:rsidP="00730218">
      <w:pPr>
        <w:pStyle w:val="Bibliography"/>
      </w:pPr>
      <w:r w:rsidRPr="00730218">
        <w:t xml:space="preserve">Habermas, Jürgen. </w:t>
      </w:r>
      <w:r w:rsidRPr="00730218">
        <w:rPr>
          <w:i/>
          <w:iCs/>
        </w:rPr>
        <w:t>The Philosophical Discourse of Modernity: Twelve Lectures</w:t>
      </w:r>
      <w:r w:rsidRPr="00730218">
        <w:t>. Translated by Frederick G. Lawrence. Reprint edition. Cambridge, MA: MIT Press, 1990.</w:t>
      </w:r>
    </w:p>
    <w:p w14:paraId="0E40DBAF" w14:textId="77777777" w:rsidR="00730218" w:rsidRPr="00730218" w:rsidRDefault="00730218" w:rsidP="00730218">
      <w:pPr>
        <w:pStyle w:val="Bibliography"/>
      </w:pPr>
      <w:r w:rsidRPr="00730218">
        <w:t xml:space="preserve">Hacking, Ian. </w:t>
      </w:r>
      <w:r w:rsidRPr="00730218">
        <w:rPr>
          <w:i/>
          <w:iCs/>
        </w:rPr>
        <w:t>The Social Construction of What?</w:t>
      </w:r>
      <w:r w:rsidRPr="00730218">
        <w:t xml:space="preserve"> Cambridge, MA: Harvard University Press, 2000.</w:t>
      </w:r>
    </w:p>
    <w:p w14:paraId="69386EDC" w14:textId="77777777" w:rsidR="00730218" w:rsidRPr="00730218" w:rsidRDefault="00730218" w:rsidP="00730218">
      <w:pPr>
        <w:pStyle w:val="Bibliography"/>
      </w:pPr>
      <w:r w:rsidRPr="00730218">
        <w:t xml:space="preserve">Jahraus, Oliver, Armin Nassehi, Mario Grizelj, Irmhild Saake, and Julian Müller, eds. </w:t>
      </w:r>
      <w:r w:rsidRPr="00730218">
        <w:rPr>
          <w:i/>
          <w:iCs/>
        </w:rPr>
        <w:t>Luhmann-Handbuch. Leben - Werk - Wirkung</w:t>
      </w:r>
      <w:r w:rsidRPr="00730218">
        <w:t>. Stuttgart: Metzler, 2012.</w:t>
      </w:r>
    </w:p>
    <w:p w14:paraId="3501E728" w14:textId="77777777" w:rsidR="00730218" w:rsidRPr="00730218" w:rsidRDefault="00730218" w:rsidP="00730218">
      <w:pPr>
        <w:pStyle w:val="Bibliography"/>
      </w:pPr>
      <w:r w:rsidRPr="00730218">
        <w:t xml:space="preserve">King, Richard. “Preface.” In </w:t>
      </w:r>
      <w:r w:rsidRPr="00730218">
        <w:rPr>
          <w:i/>
          <w:iCs/>
        </w:rPr>
        <w:t>Religion, Theory, Critique: Classic and Contemporary Approaches and Methodologies</w:t>
      </w:r>
      <w:r w:rsidRPr="00730218">
        <w:t>, viii–xvi. New York: Columbia University Press, 2017.</w:t>
      </w:r>
    </w:p>
    <w:p w14:paraId="250DBF53" w14:textId="77777777" w:rsidR="00730218" w:rsidRPr="00730218" w:rsidRDefault="00730218" w:rsidP="00730218">
      <w:pPr>
        <w:pStyle w:val="Bibliography"/>
      </w:pPr>
      <w:r w:rsidRPr="00730218">
        <w:t xml:space="preserve">———. “The Copernican Turn in the Study of Religion.” In </w:t>
      </w:r>
      <w:r w:rsidRPr="00730218">
        <w:rPr>
          <w:i/>
          <w:iCs/>
        </w:rPr>
        <w:t>Religion, Theory, Critique: Classic and Contemporary Approaches and Methodologies</w:t>
      </w:r>
      <w:r w:rsidRPr="00730218">
        <w:t>, 1–20. New York: Columbia University Press, 2017.</w:t>
      </w:r>
    </w:p>
    <w:p w14:paraId="1B71AC2B" w14:textId="77777777" w:rsidR="00730218" w:rsidRPr="00730218" w:rsidRDefault="00730218" w:rsidP="00730218">
      <w:pPr>
        <w:pStyle w:val="Bibliography"/>
      </w:pPr>
      <w:r w:rsidRPr="00730218">
        <w:t xml:space="preserve">Luhmann, Niklas. </w:t>
      </w:r>
      <w:r w:rsidRPr="00730218">
        <w:rPr>
          <w:i/>
          <w:iCs/>
        </w:rPr>
        <w:t>A Systems Theory of Religion</w:t>
      </w:r>
      <w:r w:rsidRPr="00730218">
        <w:t>. Edited by André Kieserling. Translated by David Brenner and Adrian Hermann. Stanford: Stanford University Press, 2013.</w:t>
      </w:r>
    </w:p>
    <w:p w14:paraId="72E6BF5D" w14:textId="77777777" w:rsidR="00730218" w:rsidRPr="00730218" w:rsidRDefault="00730218" w:rsidP="00730218">
      <w:pPr>
        <w:pStyle w:val="Bibliography"/>
      </w:pPr>
      <w:r w:rsidRPr="00730218">
        <w:t xml:space="preserve">———. “Cognition as Construction.” In </w:t>
      </w:r>
      <w:r w:rsidRPr="00730218">
        <w:rPr>
          <w:i/>
          <w:iCs/>
        </w:rPr>
        <w:t>Luhmann Explained: From Souls to Systems</w:t>
      </w:r>
      <w:r w:rsidRPr="00730218">
        <w:t>, translated by Hans-Georg Moeller, 241–60. Open Court, 2011.</w:t>
      </w:r>
    </w:p>
    <w:p w14:paraId="19485982" w14:textId="77777777" w:rsidR="00730218" w:rsidRPr="00730218" w:rsidRDefault="00730218" w:rsidP="00730218">
      <w:pPr>
        <w:pStyle w:val="Bibliography"/>
      </w:pPr>
      <w:r w:rsidRPr="00730218">
        <w:t xml:space="preserve">———. </w:t>
      </w:r>
      <w:r w:rsidRPr="00730218">
        <w:rPr>
          <w:i/>
          <w:iCs/>
        </w:rPr>
        <w:t>Die neuzeitlichen Wissenschaften und die Phänomenologie</w:t>
      </w:r>
      <w:r w:rsidRPr="00730218">
        <w:t>. Vienna: Picus Verlag, 1996.</w:t>
      </w:r>
    </w:p>
    <w:p w14:paraId="079E9A7C" w14:textId="77777777" w:rsidR="00730218" w:rsidRPr="00730218" w:rsidRDefault="00730218" w:rsidP="00730218">
      <w:pPr>
        <w:pStyle w:val="Bibliography"/>
      </w:pPr>
      <w:r w:rsidRPr="00730218">
        <w:t xml:space="preserve">———. </w:t>
      </w:r>
      <w:r w:rsidRPr="00730218">
        <w:rPr>
          <w:i/>
          <w:iCs/>
        </w:rPr>
        <w:t>Erkenntnis als Konstruktion</w:t>
      </w:r>
      <w:r w:rsidRPr="00730218">
        <w:t>. Bern: Benteli, 1988.</w:t>
      </w:r>
    </w:p>
    <w:p w14:paraId="6A993ABF" w14:textId="77777777" w:rsidR="00730218" w:rsidRPr="00730218" w:rsidRDefault="00730218" w:rsidP="00730218">
      <w:pPr>
        <w:pStyle w:val="Bibliography"/>
      </w:pPr>
      <w:r w:rsidRPr="00730218">
        <w:t xml:space="preserve">———. “Instead of a Preface to the English Edition: On the Concepts of ‘Subject’ and ‘Action.’” In </w:t>
      </w:r>
      <w:r w:rsidRPr="00730218">
        <w:rPr>
          <w:i/>
          <w:iCs/>
        </w:rPr>
        <w:t>Social Systems</w:t>
      </w:r>
      <w:r w:rsidRPr="00730218">
        <w:t>, translated by John Bednarz Jr. and Dirk Baecker, xxxvii–xliv. Stanford: Stanford University Press, 1996.</w:t>
      </w:r>
    </w:p>
    <w:p w14:paraId="136F97F7" w14:textId="77777777" w:rsidR="00730218" w:rsidRPr="00730218" w:rsidRDefault="00730218" w:rsidP="00730218">
      <w:pPr>
        <w:pStyle w:val="Bibliography"/>
      </w:pPr>
      <w:r w:rsidRPr="00730218">
        <w:t xml:space="preserve">———. </w:t>
      </w:r>
      <w:r w:rsidRPr="00730218">
        <w:rPr>
          <w:i/>
          <w:iCs/>
        </w:rPr>
        <w:t>Introduction to Systems Theory</w:t>
      </w:r>
      <w:r w:rsidRPr="00730218">
        <w:t>. Translated by Peter Gilgen. Cambridge, UK ; Malden, MA: Polity, 2012.</w:t>
      </w:r>
    </w:p>
    <w:p w14:paraId="3B25ABC2" w14:textId="77777777" w:rsidR="00730218" w:rsidRPr="00730218" w:rsidRDefault="00730218" w:rsidP="00730218">
      <w:pPr>
        <w:pStyle w:val="Bibliography"/>
      </w:pPr>
      <w:r w:rsidRPr="00730218">
        <w:t xml:space="preserve">———. </w:t>
      </w:r>
      <w:r w:rsidRPr="00730218">
        <w:rPr>
          <w:i/>
          <w:iCs/>
        </w:rPr>
        <w:t>Social Systems</w:t>
      </w:r>
      <w:r w:rsidRPr="00730218">
        <w:t>. Translated by John Bednarz Jr. and Dirk Baecker. Stanford: Stanford University Press, 1996.</w:t>
      </w:r>
    </w:p>
    <w:p w14:paraId="2F3B00D4" w14:textId="77777777" w:rsidR="00730218" w:rsidRPr="00730218" w:rsidRDefault="00730218" w:rsidP="00730218">
      <w:pPr>
        <w:pStyle w:val="Bibliography"/>
      </w:pPr>
      <w:r w:rsidRPr="00730218">
        <w:t xml:space="preserve">———. “The Autopoiesis of Social Systems.” In </w:t>
      </w:r>
      <w:r w:rsidRPr="00730218">
        <w:rPr>
          <w:i/>
          <w:iCs/>
        </w:rPr>
        <w:t>Essays on Self-Reference</w:t>
      </w:r>
      <w:r w:rsidRPr="00730218">
        <w:t>, 1–20. New York: Columbia University Press, 1990.</w:t>
      </w:r>
    </w:p>
    <w:p w14:paraId="059B8635" w14:textId="77777777" w:rsidR="00730218" w:rsidRPr="00730218" w:rsidRDefault="00730218" w:rsidP="00730218">
      <w:pPr>
        <w:pStyle w:val="Bibliography"/>
      </w:pPr>
      <w:r w:rsidRPr="00730218">
        <w:t xml:space="preserve">———. </w:t>
      </w:r>
      <w:r w:rsidRPr="00730218">
        <w:rPr>
          <w:i/>
          <w:iCs/>
        </w:rPr>
        <w:t>Theory of Society</w:t>
      </w:r>
      <w:r w:rsidRPr="00730218">
        <w:t>. Translated by Rhodes Barrett. Vol. 1. 2 vols. Stanford: Stanford University Press, 2012.</w:t>
      </w:r>
    </w:p>
    <w:p w14:paraId="3A7853C8" w14:textId="77777777" w:rsidR="00730218" w:rsidRPr="00730218" w:rsidRDefault="00730218" w:rsidP="00730218">
      <w:pPr>
        <w:pStyle w:val="Bibliography"/>
      </w:pPr>
      <w:r w:rsidRPr="00730218">
        <w:t xml:space="preserve">———. </w:t>
      </w:r>
      <w:r w:rsidRPr="00730218">
        <w:rPr>
          <w:i/>
          <w:iCs/>
        </w:rPr>
        <w:t>Theory of Society</w:t>
      </w:r>
      <w:r w:rsidRPr="00730218">
        <w:t>. Translated by Rhodes Barrett. Vol. 2. 2 vols. Stanford: Stanford University Press, 2013.</w:t>
      </w:r>
    </w:p>
    <w:p w14:paraId="3532DFCC" w14:textId="77777777" w:rsidR="00730218" w:rsidRPr="00730218" w:rsidRDefault="00730218" w:rsidP="00730218">
      <w:pPr>
        <w:pStyle w:val="Bibliography"/>
      </w:pPr>
      <w:r w:rsidRPr="00730218">
        <w:t xml:space="preserve">Paul, Axel T. “Organizing Husserl: On the Phenomenological Foundations of Luhmann’s Systems Theory.” </w:t>
      </w:r>
      <w:r w:rsidRPr="00730218">
        <w:rPr>
          <w:i/>
          <w:iCs/>
        </w:rPr>
        <w:t>Journal of Classical Sociology</w:t>
      </w:r>
      <w:r w:rsidRPr="00730218">
        <w:t xml:space="preserve"> 1, no. 3 (2001): 371–94.</w:t>
      </w:r>
    </w:p>
    <w:p w14:paraId="048830FB" w14:textId="0D0B379A" w:rsidR="00147E62" w:rsidRPr="00564817" w:rsidRDefault="00147E62" w:rsidP="00BF23AA">
      <w:pPr>
        <w:spacing w:line="480" w:lineRule="auto"/>
        <w:ind w:firstLine="720"/>
        <w:rPr>
          <w:rFonts w:eastAsia="Times New Roman"/>
          <w:u w:val="single"/>
        </w:rPr>
      </w:pPr>
    </w:p>
    <w:sectPr w:rsidR="00147E62" w:rsidRPr="00564817">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B8179A" w14:textId="77777777" w:rsidR="00CB5F81" w:rsidRDefault="00CB5F81" w:rsidP="00F65FA6">
      <w:r>
        <w:separator/>
      </w:r>
    </w:p>
  </w:endnote>
  <w:endnote w:type="continuationSeparator" w:id="0">
    <w:p w14:paraId="53688E04" w14:textId="77777777" w:rsidR="00CB5F81" w:rsidRDefault="00CB5F81" w:rsidP="00F65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6294296"/>
      <w:docPartObj>
        <w:docPartGallery w:val="Page Numbers (Bottom of Page)"/>
        <w:docPartUnique/>
      </w:docPartObj>
    </w:sdtPr>
    <w:sdtEndPr>
      <w:rPr>
        <w:noProof/>
      </w:rPr>
    </w:sdtEndPr>
    <w:sdtContent>
      <w:p w14:paraId="6C2B69F0" w14:textId="0E93D687" w:rsidR="00D677EA" w:rsidRDefault="00D677EA">
        <w:pPr>
          <w:pStyle w:val="Footer"/>
          <w:jc w:val="center"/>
        </w:pPr>
        <w:r>
          <w:fldChar w:fldCharType="begin"/>
        </w:r>
        <w:r>
          <w:instrText xml:space="preserve"> PAGE   \* MERGEFORMAT </w:instrText>
        </w:r>
        <w:r>
          <w:fldChar w:fldCharType="separate"/>
        </w:r>
        <w:r w:rsidR="002028E2">
          <w:rPr>
            <w:noProof/>
          </w:rPr>
          <w:t>15</w:t>
        </w:r>
        <w:r>
          <w:rPr>
            <w:noProof/>
          </w:rPr>
          <w:fldChar w:fldCharType="end"/>
        </w:r>
      </w:p>
    </w:sdtContent>
  </w:sdt>
  <w:p w14:paraId="4E8485ED" w14:textId="77777777" w:rsidR="00D677EA" w:rsidRDefault="00D677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FE6F40" w14:textId="77777777" w:rsidR="00CB5F81" w:rsidRDefault="00CB5F81" w:rsidP="00F65FA6">
      <w:r>
        <w:separator/>
      </w:r>
    </w:p>
  </w:footnote>
  <w:footnote w:type="continuationSeparator" w:id="0">
    <w:p w14:paraId="09601576" w14:textId="77777777" w:rsidR="00CB5F81" w:rsidRDefault="00CB5F81" w:rsidP="00F65FA6">
      <w:r>
        <w:continuationSeparator/>
      </w:r>
    </w:p>
  </w:footnote>
  <w:footnote w:id="1">
    <w:p w14:paraId="3FF5A753" w14:textId="5CE6DAC1" w:rsidR="003E55B3" w:rsidRDefault="003E55B3" w:rsidP="009A5418">
      <w:pPr>
        <w:pStyle w:val="FootnoteText"/>
        <w:spacing w:line="480" w:lineRule="auto"/>
        <w:ind w:firstLine="720"/>
      </w:pPr>
      <w:r>
        <w:rPr>
          <w:rStyle w:val="FootnoteReference"/>
        </w:rPr>
        <w:footnoteRef/>
      </w:r>
      <w:r>
        <w:t xml:space="preserve"> </w:t>
      </w:r>
      <w:r w:rsidR="0021763F" w:rsidRPr="0021763F">
        <w:rPr>
          <w:szCs w:val="24"/>
        </w:rPr>
        <w:t xml:space="preserve">Richard King, “Preface,” in </w:t>
      </w:r>
      <w:r w:rsidR="0021763F" w:rsidRPr="0021763F">
        <w:rPr>
          <w:i/>
          <w:iCs/>
          <w:szCs w:val="24"/>
        </w:rPr>
        <w:t>Religion, Theory, Critique: Classic and Contemporary Approaches and Methodologies</w:t>
      </w:r>
      <w:r w:rsidR="0021763F" w:rsidRPr="0021763F">
        <w:rPr>
          <w:szCs w:val="24"/>
        </w:rPr>
        <w:t xml:space="preserve"> (New York: Columbia University Press, 2017), xiii.</w:t>
      </w:r>
    </w:p>
  </w:footnote>
  <w:footnote w:id="2">
    <w:p w14:paraId="7BACECF1" w14:textId="0E5A183C" w:rsidR="003E55B3" w:rsidRDefault="003E55B3" w:rsidP="009A5418">
      <w:pPr>
        <w:pStyle w:val="FootnoteText"/>
        <w:spacing w:line="480" w:lineRule="auto"/>
        <w:ind w:firstLine="720"/>
      </w:pPr>
      <w:r>
        <w:rPr>
          <w:rStyle w:val="FootnoteReference"/>
        </w:rPr>
        <w:footnoteRef/>
      </w:r>
      <w:r>
        <w:t xml:space="preserve"> </w:t>
      </w:r>
      <w:r w:rsidR="0021763F" w:rsidRPr="0021763F">
        <w:rPr>
          <w:szCs w:val="24"/>
        </w:rPr>
        <w:t xml:space="preserve">Richard King, “The Copernican Turn in the Study of Religion,” in </w:t>
      </w:r>
      <w:r w:rsidR="0021763F" w:rsidRPr="0021763F">
        <w:rPr>
          <w:i/>
          <w:iCs/>
          <w:szCs w:val="24"/>
        </w:rPr>
        <w:t>Religion, Theory, Critique: Classic and Contemporary Approaches and Methodologies</w:t>
      </w:r>
      <w:r w:rsidR="0021763F" w:rsidRPr="0021763F">
        <w:rPr>
          <w:szCs w:val="24"/>
        </w:rPr>
        <w:t xml:space="preserve"> (New York: Columbia University Press, 2017), 1.</w:t>
      </w:r>
    </w:p>
  </w:footnote>
  <w:footnote w:id="3">
    <w:p w14:paraId="182E1B09" w14:textId="2853B720" w:rsidR="003E55B3" w:rsidRDefault="003E55B3" w:rsidP="009A5418">
      <w:pPr>
        <w:pStyle w:val="FootnoteText"/>
        <w:spacing w:line="480" w:lineRule="auto"/>
        <w:ind w:firstLine="720"/>
      </w:pPr>
      <w:r>
        <w:rPr>
          <w:rStyle w:val="FootnoteReference"/>
        </w:rPr>
        <w:footnoteRef/>
      </w:r>
      <w:r>
        <w:t xml:space="preserve"> </w:t>
      </w:r>
      <w:r w:rsidR="00B105FC" w:rsidRPr="00B105FC">
        <w:t>King, 5.</w:t>
      </w:r>
    </w:p>
  </w:footnote>
  <w:footnote w:id="4">
    <w:p w14:paraId="38315AF8" w14:textId="43B892F3" w:rsidR="00F65FA6" w:rsidRDefault="00F65FA6" w:rsidP="009A5418">
      <w:pPr>
        <w:pStyle w:val="FootnoteText"/>
        <w:spacing w:line="480" w:lineRule="auto"/>
        <w:ind w:firstLine="720"/>
      </w:pPr>
      <w:r>
        <w:rPr>
          <w:rStyle w:val="FootnoteReference"/>
        </w:rPr>
        <w:footnoteRef/>
      </w:r>
      <w:r>
        <w:t xml:space="preserve"> </w:t>
      </w:r>
      <w:r w:rsidR="0021763F">
        <w:t xml:space="preserve">The importance of this question is emphasized in </w:t>
      </w:r>
      <w:r w:rsidR="0021763F" w:rsidRPr="0021763F">
        <w:rPr>
          <w:szCs w:val="24"/>
        </w:rPr>
        <w:t xml:space="preserve">Ian Hacking, </w:t>
      </w:r>
      <w:r w:rsidR="0021763F" w:rsidRPr="0021763F">
        <w:rPr>
          <w:i/>
          <w:iCs/>
          <w:szCs w:val="24"/>
        </w:rPr>
        <w:t>The Social Construction of What?</w:t>
      </w:r>
      <w:r w:rsidR="0021763F" w:rsidRPr="0021763F">
        <w:rPr>
          <w:szCs w:val="24"/>
        </w:rPr>
        <w:t xml:space="preserve"> (Cambridge, MA: Harvard University Press, 2000).</w:t>
      </w:r>
    </w:p>
  </w:footnote>
  <w:footnote w:id="5">
    <w:p w14:paraId="087D2041" w14:textId="1BCE4E74" w:rsidR="003E55B3" w:rsidRDefault="003E55B3" w:rsidP="009A5418">
      <w:pPr>
        <w:pStyle w:val="FootnoteText"/>
        <w:spacing w:line="480" w:lineRule="auto"/>
        <w:ind w:firstLine="720"/>
      </w:pPr>
      <w:r>
        <w:rPr>
          <w:rStyle w:val="FootnoteReference"/>
        </w:rPr>
        <w:footnoteRef/>
      </w:r>
      <w:r>
        <w:t xml:space="preserve"> </w:t>
      </w:r>
      <w:r w:rsidR="00B105FC" w:rsidRPr="00B105FC">
        <w:rPr>
          <w:szCs w:val="24"/>
        </w:rPr>
        <w:t>King, “Preface,” xiii.</w:t>
      </w:r>
    </w:p>
  </w:footnote>
  <w:footnote w:id="6">
    <w:p w14:paraId="311E79B7" w14:textId="35262ECA" w:rsidR="00457710" w:rsidRDefault="00457710" w:rsidP="009A5418">
      <w:pPr>
        <w:pStyle w:val="FootnoteText"/>
        <w:spacing w:line="480" w:lineRule="auto"/>
        <w:ind w:firstLine="720"/>
      </w:pPr>
      <w:r>
        <w:rPr>
          <w:rStyle w:val="FootnoteReference"/>
        </w:rPr>
        <w:footnoteRef/>
      </w:r>
      <w:r>
        <w:t xml:space="preserve"> I am suggesting that ‘constructionism’ within critical religious studies is frequently subjective or Kantian. I make a similar argument </w:t>
      </w:r>
      <w:r w:rsidR="00487142">
        <w:t xml:space="preserve">regarding </w:t>
      </w:r>
      <w:r>
        <w:t>Kantian or subjective patterns of thinking</w:t>
      </w:r>
      <w:r w:rsidR="00487142">
        <w:t xml:space="preserve"> (</w:t>
      </w:r>
      <w:r>
        <w:t>but in connection with ‘realism’ rather than ‘constructionism’</w:t>
      </w:r>
      <w:r w:rsidR="00487142">
        <w:t>)</w:t>
      </w:r>
      <w:r>
        <w:t xml:space="preserve"> in </w:t>
      </w:r>
      <w:r w:rsidR="009A5418" w:rsidRPr="009A5418">
        <w:rPr>
          <w:szCs w:val="24"/>
        </w:rPr>
        <w:t xml:space="preserve">Michael P. DeJonge, “People Doing Things: Residual Subject Realism in the Study of Religion,” </w:t>
      </w:r>
      <w:r w:rsidR="009A5418" w:rsidRPr="009A5418">
        <w:rPr>
          <w:i/>
          <w:iCs/>
          <w:szCs w:val="24"/>
        </w:rPr>
        <w:t>Journal of the American Academy of Religion</w:t>
      </w:r>
      <w:r w:rsidR="009A5418" w:rsidRPr="009A5418">
        <w:rPr>
          <w:szCs w:val="24"/>
        </w:rPr>
        <w:t xml:space="preserve"> 90, no. 1 (2022): 26–51.</w:t>
      </w:r>
    </w:p>
  </w:footnote>
  <w:footnote w:id="7">
    <w:p w14:paraId="4E01877F" w14:textId="578EF539" w:rsidR="00F65FA6" w:rsidRDefault="00F65FA6" w:rsidP="009A5418">
      <w:pPr>
        <w:pStyle w:val="FootnoteText"/>
        <w:spacing w:line="480" w:lineRule="auto"/>
        <w:ind w:firstLine="720"/>
      </w:pPr>
      <w:r>
        <w:rPr>
          <w:rStyle w:val="FootnoteReference"/>
        </w:rPr>
        <w:footnoteRef/>
      </w:r>
      <w:r>
        <w:t xml:space="preserve"> </w:t>
      </w:r>
      <w:r w:rsidR="0021763F">
        <w:t xml:space="preserve">The importance of this question is emphasized in </w:t>
      </w:r>
      <w:r w:rsidR="0021763F" w:rsidRPr="0021763F">
        <w:rPr>
          <w:szCs w:val="24"/>
        </w:rPr>
        <w:t xml:space="preserve">Steven Engler, “Constructionism versus What?,” </w:t>
      </w:r>
      <w:r w:rsidR="0021763F" w:rsidRPr="0021763F">
        <w:rPr>
          <w:i/>
          <w:iCs/>
          <w:szCs w:val="24"/>
        </w:rPr>
        <w:t>Religion</w:t>
      </w:r>
      <w:r w:rsidR="0021763F" w:rsidRPr="0021763F">
        <w:rPr>
          <w:szCs w:val="24"/>
        </w:rPr>
        <w:t xml:space="preserve"> 34, no. 4 (2004): 291–313.</w:t>
      </w:r>
    </w:p>
  </w:footnote>
  <w:footnote w:id="8">
    <w:p w14:paraId="626CCF50" w14:textId="11F3034F" w:rsidR="00B53940" w:rsidRPr="00BF23AA" w:rsidRDefault="00B53940" w:rsidP="009A5418">
      <w:pPr>
        <w:pStyle w:val="FootnoteText"/>
        <w:spacing w:line="480" w:lineRule="auto"/>
        <w:ind w:firstLine="720"/>
      </w:pPr>
      <w:r>
        <w:rPr>
          <w:rStyle w:val="FootnoteReference"/>
        </w:rPr>
        <w:footnoteRef/>
      </w:r>
      <w:r w:rsidRPr="00BF23AA">
        <w:t xml:space="preserve"> </w:t>
      </w:r>
      <w:r w:rsidR="00EA44B8" w:rsidRPr="00EA44B8">
        <w:rPr>
          <w:szCs w:val="24"/>
        </w:rPr>
        <w:t>King, “The Copernican Turn in the Study of Religion,” 7.</w:t>
      </w:r>
    </w:p>
  </w:footnote>
  <w:footnote w:id="9">
    <w:p w14:paraId="0617FF78" w14:textId="23CC9AA4" w:rsidR="00B53940" w:rsidRPr="00EA44B8" w:rsidRDefault="00B53940" w:rsidP="009A5418">
      <w:pPr>
        <w:pStyle w:val="FootnoteText"/>
        <w:spacing w:line="480" w:lineRule="auto"/>
        <w:ind w:firstLine="720"/>
        <w:rPr>
          <w:lang w:val="de-DE"/>
        </w:rPr>
      </w:pPr>
      <w:r>
        <w:rPr>
          <w:rStyle w:val="FootnoteReference"/>
        </w:rPr>
        <w:footnoteRef/>
      </w:r>
      <w:r w:rsidRPr="00EA44B8">
        <w:rPr>
          <w:lang w:val="de-DE"/>
        </w:rPr>
        <w:t xml:space="preserve"> </w:t>
      </w:r>
      <w:r w:rsidR="00B105FC" w:rsidRPr="00EA44B8">
        <w:rPr>
          <w:lang w:val="de-DE"/>
        </w:rPr>
        <w:t>King, 1.</w:t>
      </w:r>
    </w:p>
  </w:footnote>
  <w:footnote w:id="10">
    <w:p w14:paraId="0FC25C69" w14:textId="3B907D5E" w:rsidR="00B53940" w:rsidRPr="00873C3A" w:rsidRDefault="00B53940" w:rsidP="009A5418">
      <w:pPr>
        <w:pStyle w:val="FootnoteText"/>
        <w:spacing w:line="480" w:lineRule="auto"/>
        <w:ind w:firstLine="720"/>
      </w:pPr>
      <w:r>
        <w:rPr>
          <w:rStyle w:val="FootnoteReference"/>
        </w:rPr>
        <w:footnoteRef/>
      </w:r>
      <w:r w:rsidRPr="00EA44B8">
        <w:rPr>
          <w:lang w:val="de-DE"/>
        </w:rPr>
        <w:t xml:space="preserve"> </w:t>
      </w:r>
      <w:r w:rsidR="0028165E" w:rsidRPr="00EA44B8">
        <w:rPr>
          <w:lang w:val="de-DE"/>
        </w:rPr>
        <w:t xml:space="preserve">See </w:t>
      </w:r>
      <w:r w:rsidR="0028165E" w:rsidRPr="00EA44B8">
        <w:rPr>
          <w:szCs w:val="24"/>
          <w:lang w:val="de-DE"/>
        </w:rPr>
        <w:t xml:space="preserve">Niklas Luhmann, </w:t>
      </w:r>
      <w:r w:rsidR="0028165E" w:rsidRPr="00EA44B8">
        <w:rPr>
          <w:i/>
          <w:iCs/>
          <w:szCs w:val="24"/>
          <w:lang w:val="de-DE"/>
        </w:rPr>
        <w:t>Erkenntnis als Konstruktion</w:t>
      </w:r>
      <w:r w:rsidR="0028165E" w:rsidRPr="00EA44B8">
        <w:rPr>
          <w:szCs w:val="24"/>
          <w:lang w:val="de-DE"/>
        </w:rPr>
        <w:t xml:space="preserve"> (Bern: Benteli, 1988).</w:t>
      </w:r>
      <w:r w:rsidR="0028165E" w:rsidRPr="00EA44B8">
        <w:rPr>
          <w:lang w:val="de-DE"/>
        </w:rPr>
        <w:t xml:space="preserve"> </w:t>
      </w:r>
      <w:r w:rsidR="0028165E" w:rsidRPr="0028165E">
        <w:t xml:space="preserve">Translated as </w:t>
      </w:r>
      <w:r w:rsidR="0028165E" w:rsidRPr="0028165E">
        <w:rPr>
          <w:szCs w:val="24"/>
        </w:rPr>
        <w:t xml:space="preserve">Niklas Luhmann, “Cognition as Construction,” in </w:t>
      </w:r>
      <w:r w:rsidR="0028165E" w:rsidRPr="0028165E">
        <w:rPr>
          <w:i/>
          <w:iCs/>
          <w:szCs w:val="24"/>
        </w:rPr>
        <w:t>Luhmann Explained: From Souls to Systems</w:t>
      </w:r>
      <w:r w:rsidR="0028165E" w:rsidRPr="0028165E">
        <w:rPr>
          <w:szCs w:val="24"/>
        </w:rPr>
        <w:t>, trans. Hans-Georg Moeller (Open Court, 2011), 241–60.</w:t>
      </w:r>
    </w:p>
  </w:footnote>
  <w:footnote w:id="11">
    <w:p w14:paraId="1337096B" w14:textId="30C7ACC1" w:rsidR="00095B3B" w:rsidRDefault="00095B3B" w:rsidP="009A5418">
      <w:pPr>
        <w:pStyle w:val="FootnoteText"/>
        <w:spacing w:line="480" w:lineRule="auto"/>
        <w:ind w:firstLine="720"/>
      </w:pPr>
      <w:r>
        <w:rPr>
          <w:rStyle w:val="FootnoteReference"/>
        </w:rPr>
        <w:footnoteRef/>
      </w:r>
      <w:r>
        <w:t xml:space="preserve"> For a helpful presentation of Kant and Hegel on these issues, see </w:t>
      </w:r>
      <w:r w:rsidRPr="00095B3B">
        <w:rPr>
          <w:szCs w:val="24"/>
        </w:rPr>
        <w:t xml:space="preserve">Lee Braver, </w:t>
      </w:r>
      <w:r w:rsidRPr="00095B3B">
        <w:rPr>
          <w:i/>
          <w:iCs/>
          <w:szCs w:val="24"/>
        </w:rPr>
        <w:t>A Thing of This World: A History of Continental Anti-Realism</w:t>
      </w:r>
      <w:r w:rsidRPr="00095B3B">
        <w:rPr>
          <w:szCs w:val="24"/>
        </w:rPr>
        <w:t xml:space="preserve"> (Evanston, Ill: Northwestern University Press, 2007).</w:t>
      </w:r>
    </w:p>
  </w:footnote>
  <w:footnote w:id="12">
    <w:p w14:paraId="0C2A82A3" w14:textId="5A35D569" w:rsidR="00873C3A" w:rsidRPr="004E2B30" w:rsidRDefault="00873C3A" w:rsidP="009A5418">
      <w:pPr>
        <w:pStyle w:val="FootnoteText"/>
        <w:spacing w:line="480" w:lineRule="auto"/>
        <w:ind w:firstLine="720"/>
      </w:pPr>
      <w:r>
        <w:rPr>
          <w:rStyle w:val="FootnoteReference"/>
        </w:rPr>
        <w:footnoteRef/>
      </w:r>
      <w:r>
        <w:t xml:space="preserve"> For Luhmann’s interpretation of Husserl, see, for examples, </w:t>
      </w:r>
      <w:r w:rsidR="005D1054" w:rsidRPr="005D1054">
        <w:rPr>
          <w:szCs w:val="24"/>
        </w:rPr>
        <w:t xml:space="preserve">Niklas Luhmann, “Instead of a Preface to the English Edition: On the Concepts of ‘Subject’ and ‘Action,’” in </w:t>
      </w:r>
      <w:r w:rsidR="005D1054" w:rsidRPr="005D1054">
        <w:rPr>
          <w:i/>
          <w:iCs/>
          <w:szCs w:val="24"/>
        </w:rPr>
        <w:t>Social Systems</w:t>
      </w:r>
      <w:r w:rsidR="005D1054" w:rsidRPr="005D1054">
        <w:rPr>
          <w:szCs w:val="24"/>
        </w:rPr>
        <w:t xml:space="preserve">, trans. John Bednarz Jr. and Dirk Baecker (Stanford: Stanford University Press, 1996), xxxvii–xliv; Axel T. Paul, “Organizing Husserl: On the Phenomenological Foundations of Luhmann’s Systems Theory,” </w:t>
      </w:r>
      <w:r w:rsidR="005D1054" w:rsidRPr="005D1054">
        <w:rPr>
          <w:i/>
          <w:iCs/>
          <w:szCs w:val="24"/>
        </w:rPr>
        <w:t>Journal of Classical Sociology</w:t>
      </w:r>
      <w:r w:rsidR="005D1054" w:rsidRPr="005D1054">
        <w:rPr>
          <w:szCs w:val="24"/>
        </w:rPr>
        <w:t xml:space="preserve"> 1, no. 3 (2001): 371–94; Oliver Jahraus et al., eds., </w:t>
      </w:r>
      <w:r w:rsidR="005D1054" w:rsidRPr="005D1054">
        <w:rPr>
          <w:i/>
          <w:iCs/>
          <w:szCs w:val="24"/>
        </w:rPr>
        <w:t>Luhmann-Handbuch. Leben - Werk - Wirkung</w:t>
      </w:r>
      <w:r w:rsidR="005D1054" w:rsidRPr="005D1054">
        <w:rPr>
          <w:szCs w:val="24"/>
        </w:rPr>
        <w:t xml:space="preserve"> (Stuttgart: Metzler, 2012), 13–18; Niklas Luhmann, </w:t>
      </w:r>
      <w:r w:rsidR="005D1054" w:rsidRPr="005D1054">
        <w:rPr>
          <w:i/>
          <w:iCs/>
          <w:szCs w:val="24"/>
        </w:rPr>
        <w:t>Die neuzeitlichen Wissenschaften und die Phänomenologie</w:t>
      </w:r>
      <w:r w:rsidR="005D1054" w:rsidRPr="005D1054">
        <w:rPr>
          <w:szCs w:val="24"/>
        </w:rPr>
        <w:t xml:space="preserve"> (Vienna: Picus Verlag, 1996).</w:t>
      </w:r>
    </w:p>
  </w:footnote>
  <w:footnote w:id="13">
    <w:p w14:paraId="7B745659" w14:textId="257BDC70" w:rsidR="00E12132" w:rsidRPr="00D56725" w:rsidRDefault="00E12132" w:rsidP="009A5418">
      <w:pPr>
        <w:pStyle w:val="FootnoteText"/>
        <w:spacing w:line="480" w:lineRule="auto"/>
        <w:ind w:firstLine="720"/>
      </w:pPr>
      <w:r>
        <w:rPr>
          <w:rStyle w:val="FootnoteReference"/>
        </w:rPr>
        <w:footnoteRef/>
      </w:r>
      <w:r w:rsidRPr="00E12132">
        <w:t xml:space="preserve"> See, for example, </w:t>
      </w:r>
      <w:r w:rsidR="004E2B30" w:rsidRPr="004E2B30">
        <w:rPr>
          <w:szCs w:val="24"/>
        </w:rPr>
        <w:t xml:space="preserve">Niklas Luhmann, </w:t>
      </w:r>
      <w:r w:rsidR="004E2B30" w:rsidRPr="004E2B30">
        <w:rPr>
          <w:i/>
          <w:iCs/>
          <w:szCs w:val="24"/>
        </w:rPr>
        <w:t>Theory of Society</w:t>
      </w:r>
      <w:r w:rsidR="004E2B30" w:rsidRPr="004E2B30">
        <w:rPr>
          <w:szCs w:val="24"/>
        </w:rPr>
        <w:t>, trans. Rhodes Barrett, vol. 2 (Stanford: Stanford University Press, 2013), 169–75; Luhmann, “Instead of a Preface.”</w:t>
      </w:r>
    </w:p>
  </w:footnote>
  <w:footnote w:id="14">
    <w:p w14:paraId="232598F4" w14:textId="53E3649A" w:rsidR="00A70E5C" w:rsidRDefault="00A70E5C" w:rsidP="009A5418">
      <w:pPr>
        <w:pStyle w:val="FootnoteText"/>
        <w:spacing w:line="480" w:lineRule="auto"/>
        <w:ind w:firstLine="720"/>
      </w:pPr>
      <w:r>
        <w:rPr>
          <w:rStyle w:val="FootnoteReference"/>
        </w:rPr>
        <w:footnoteRef/>
      </w:r>
      <w:r>
        <w:t xml:space="preserve"> For example, </w:t>
      </w:r>
      <w:r w:rsidR="00A07DE7" w:rsidRPr="00A07DE7">
        <w:rPr>
          <w:szCs w:val="24"/>
        </w:rPr>
        <w:t xml:space="preserve">Luhmann, </w:t>
      </w:r>
      <w:r w:rsidR="00A07DE7" w:rsidRPr="00A07DE7">
        <w:rPr>
          <w:i/>
          <w:iCs/>
          <w:szCs w:val="24"/>
        </w:rPr>
        <w:t>Theory of Society</w:t>
      </w:r>
      <w:r w:rsidR="00A07DE7" w:rsidRPr="00A07DE7">
        <w:rPr>
          <w:szCs w:val="24"/>
        </w:rPr>
        <w:t>, 2013, 2:171.</w:t>
      </w:r>
    </w:p>
  </w:footnote>
  <w:footnote w:id="15">
    <w:p w14:paraId="267F03E6" w14:textId="2AB916DA" w:rsidR="00F96EC0" w:rsidRDefault="00F96EC0" w:rsidP="009A5418">
      <w:pPr>
        <w:pStyle w:val="FootnoteText"/>
        <w:spacing w:line="480" w:lineRule="auto"/>
        <w:ind w:firstLine="720"/>
      </w:pPr>
      <w:r>
        <w:rPr>
          <w:rStyle w:val="FootnoteReference"/>
        </w:rPr>
        <w:footnoteRef/>
      </w:r>
      <w:r>
        <w:t xml:space="preserve"> On social systems, see</w:t>
      </w:r>
      <w:r w:rsidR="00870903">
        <w:t>, for examples,</w:t>
      </w:r>
      <w:r>
        <w:t xml:space="preserve"> </w:t>
      </w:r>
      <w:r w:rsidR="00B4273C" w:rsidRPr="00B4273C">
        <w:rPr>
          <w:szCs w:val="24"/>
        </w:rPr>
        <w:t xml:space="preserve">Niklas Luhmann, </w:t>
      </w:r>
      <w:r w:rsidR="00B4273C" w:rsidRPr="00B4273C">
        <w:rPr>
          <w:i/>
          <w:iCs/>
          <w:szCs w:val="24"/>
        </w:rPr>
        <w:t>Social Systems</w:t>
      </w:r>
      <w:r w:rsidR="00B4273C" w:rsidRPr="00B4273C">
        <w:rPr>
          <w:szCs w:val="24"/>
        </w:rPr>
        <w:t xml:space="preserve">, trans. John Bednarz Jr. and Dirk Baecker (Stanford: Stanford University Press, 1996); Niklas Luhmann, “The Autopoiesis of Social Systems,” in </w:t>
      </w:r>
      <w:r w:rsidR="00B4273C" w:rsidRPr="00B4273C">
        <w:rPr>
          <w:i/>
          <w:iCs/>
          <w:szCs w:val="24"/>
        </w:rPr>
        <w:t>Essays on Self-Reference</w:t>
      </w:r>
      <w:r w:rsidR="00B4273C" w:rsidRPr="00B4273C">
        <w:rPr>
          <w:szCs w:val="24"/>
        </w:rPr>
        <w:t xml:space="preserve"> (New York: Columbia University Press, 1990), 1–20.</w:t>
      </w:r>
    </w:p>
  </w:footnote>
  <w:footnote w:id="16">
    <w:p w14:paraId="1B6BF7C7" w14:textId="64AA3DF9" w:rsidR="004E2B30" w:rsidRDefault="004E2B30" w:rsidP="009A5418">
      <w:pPr>
        <w:pStyle w:val="FootnoteText"/>
        <w:spacing w:line="480" w:lineRule="auto"/>
        <w:ind w:firstLine="720"/>
      </w:pPr>
      <w:r>
        <w:rPr>
          <w:rStyle w:val="FootnoteReference"/>
        </w:rPr>
        <w:footnoteRef/>
      </w:r>
      <w:r>
        <w:t xml:space="preserve"> </w:t>
      </w:r>
      <w:r w:rsidR="00870903">
        <w:t xml:space="preserve">On general systems theory, see especially </w:t>
      </w:r>
      <w:r w:rsidRPr="004E2B30">
        <w:rPr>
          <w:szCs w:val="24"/>
        </w:rPr>
        <w:t xml:space="preserve">Niklas Luhmann, </w:t>
      </w:r>
      <w:r w:rsidRPr="004E2B30">
        <w:rPr>
          <w:i/>
          <w:iCs/>
          <w:szCs w:val="24"/>
        </w:rPr>
        <w:t>Introduction to Systems Theory</w:t>
      </w:r>
      <w:r w:rsidRPr="004E2B30">
        <w:rPr>
          <w:szCs w:val="24"/>
        </w:rPr>
        <w:t>, trans. Peter Gilgen (Cambridge, UK ; Malden, MA: Polity, 2012), 25–43.</w:t>
      </w:r>
    </w:p>
  </w:footnote>
  <w:footnote w:id="17">
    <w:p w14:paraId="76036E34" w14:textId="76DC1E67" w:rsidR="00A07DE7" w:rsidRDefault="00A07DE7" w:rsidP="009A5418">
      <w:pPr>
        <w:pStyle w:val="FootnoteText"/>
        <w:spacing w:line="480" w:lineRule="auto"/>
        <w:ind w:firstLine="720"/>
      </w:pPr>
      <w:r>
        <w:rPr>
          <w:rStyle w:val="FootnoteReference"/>
        </w:rPr>
        <w:footnoteRef/>
      </w:r>
      <w:r>
        <w:t xml:space="preserve"> For example, </w:t>
      </w:r>
      <w:r w:rsidRPr="00A07DE7">
        <w:rPr>
          <w:szCs w:val="24"/>
        </w:rPr>
        <w:t xml:space="preserve">Niklas Luhmann, </w:t>
      </w:r>
      <w:r w:rsidRPr="00A07DE7">
        <w:rPr>
          <w:i/>
          <w:iCs/>
          <w:szCs w:val="24"/>
        </w:rPr>
        <w:t>Theory of Society</w:t>
      </w:r>
      <w:r w:rsidRPr="00A07DE7">
        <w:rPr>
          <w:szCs w:val="24"/>
        </w:rPr>
        <w:t>, trans. Rhodes Barrett, vol. 1 (Stanford: Stanford University Press, 2012), 57–58.</w:t>
      </w:r>
    </w:p>
  </w:footnote>
  <w:footnote w:id="18">
    <w:p w14:paraId="799D8DE6" w14:textId="0C1ABAE5" w:rsidR="00015CE1" w:rsidRDefault="00015CE1" w:rsidP="009A5418">
      <w:pPr>
        <w:pStyle w:val="FootnoteText"/>
        <w:spacing w:line="480" w:lineRule="auto"/>
        <w:ind w:firstLine="720"/>
      </w:pPr>
      <w:r>
        <w:rPr>
          <w:rStyle w:val="FootnoteReference"/>
        </w:rPr>
        <w:footnoteRef/>
      </w:r>
      <w:r>
        <w:t xml:space="preserve"> For a detailed account of Luhmann’s move from subject/object to system/environment, see </w:t>
      </w:r>
      <w:r w:rsidRPr="00015CE1">
        <w:rPr>
          <w:szCs w:val="24"/>
        </w:rPr>
        <w:t xml:space="preserve">Jürgen Habermas, </w:t>
      </w:r>
      <w:r w:rsidRPr="00015CE1">
        <w:rPr>
          <w:i/>
          <w:iCs/>
          <w:szCs w:val="24"/>
        </w:rPr>
        <w:t>The Philosophical Discourse of Modernity: Twelve Lectures</w:t>
      </w:r>
      <w:r w:rsidRPr="00015CE1">
        <w:rPr>
          <w:szCs w:val="24"/>
        </w:rPr>
        <w:t>, trans. Frederick G. Lawrence, Reprint edition (Cambridge, MA: MIT Press, 1990), 368–85.</w:t>
      </w:r>
    </w:p>
  </w:footnote>
  <w:footnote w:id="19">
    <w:p w14:paraId="5205673D" w14:textId="7F2AB45A" w:rsidR="00D518C0" w:rsidRDefault="00D518C0" w:rsidP="009A5418">
      <w:pPr>
        <w:pStyle w:val="FootnoteText"/>
        <w:spacing w:line="480" w:lineRule="auto"/>
        <w:ind w:firstLine="720"/>
      </w:pPr>
      <w:r>
        <w:rPr>
          <w:rStyle w:val="FootnoteReference"/>
        </w:rPr>
        <w:footnoteRef/>
      </w:r>
      <w:r>
        <w:t xml:space="preserve"> </w:t>
      </w:r>
      <w:r w:rsidRPr="00D518C0">
        <w:rPr>
          <w:szCs w:val="24"/>
        </w:rPr>
        <w:t xml:space="preserve">Niklas Luhmann, </w:t>
      </w:r>
      <w:r w:rsidRPr="00D518C0">
        <w:rPr>
          <w:i/>
          <w:iCs/>
          <w:szCs w:val="24"/>
        </w:rPr>
        <w:t>A Systems Theory of Religion</w:t>
      </w:r>
      <w:r w:rsidRPr="00D518C0">
        <w:rPr>
          <w:szCs w:val="24"/>
        </w:rPr>
        <w:t>, ed. André Kieserling, trans. David Brenner and Adrian Hermann (Stanford: Stanford University Press, 2013).</w:t>
      </w:r>
    </w:p>
  </w:footnote>
  <w:footnote w:id="20">
    <w:p w14:paraId="22C67786" w14:textId="343871FD" w:rsidR="001B1605" w:rsidRDefault="001B1605" w:rsidP="001B1605">
      <w:pPr>
        <w:pStyle w:val="FootnoteText"/>
        <w:spacing w:line="480" w:lineRule="auto"/>
        <w:ind w:firstLine="720"/>
      </w:pPr>
      <w:r>
        <w:rPr>
          <w:rStyle w:val="FootnoteReference"/>
        </w:rPr>
        <w:footnoteRef/>
      </w:r>
      <w:r>
        <w:t xml:space="preserve"> Engler makes a similar point, seeing in </w:t>
      </w:r>
      <w:r w:rsidR="008E77FE">
        <w:t>r</w:t>
      </w:r>
      <w:r>
        <w:t xml:space="preserve">eligious </w:t>
      </w:r>
      <w:r w:rsidR="008E77FE">
        <w:t>s</w:t>
      </w:r>
      <w:r>
        <w:t xml:space="preserve">tudies a “lack of explicitly developed [constructionist] theory” despite a wealth of “vague constructionist rhetoric,” </w:t>
      </w:r>
      <w:r w:rsidRPr="001B1605">
        <w:rPr>
          <w:szCs w:val="24"/>
        </w:rPr>
        <w:t>“Constructionism versus What?,” 297.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330206"/>
    <w:multiLevelType w:val="multilevel"/>
    <w:tmpl w:val="928A3CE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21342046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A7D"/>
    <w:rsid w:val="00015CE1"/>
    <w:rsid w:val="00035C99"/>
    <w:rsid w:val="00055238"/>
    <w:rsid w:val="000774D9"/>
    <w:rsid w:val="00095B3B"/>
    <w:rsid w:val="00147E62"/>
    <w:rsid w:val="00195459"/>
    <w:rsid w:val="001B1605"/>
    <w:rsid w:val="001E3F9F"/>
    <w:rsid w:val="002028E2"/>
    <w:rsid w:val="002173CB"/>
    <w:rsid w:val="0021763F"/>
    <w:rsid w:val="0028165E"/>
    <w:rsid w:val="00291E95"/>
    <w:rsid w:val="002C3CB5"/>
    <w:rsid w:val="003147BB"/>
    <w:rsid w:val="00326178"/>
    <w:rsid w:val="003332AB"/>
    <w:rsid w:val="00364A7D"/>
    <w:rsid w:val="003C069F"/>
    <w:rsid w:val="003E55B3"/>
    <w:rsid w:val="00457710"/>
    <w:rsid w:val="00460B41"/>
    <w:rsid w:val="00485E4F"/>
    <w:rsid w:val="0048685C"/>
    <w:rsid w:val="00487142"/>
    <w:rsid w:val="004E2B30"/>
    <w:rsid w:val="0051281C"/>
    <w:rsid w:val="00564817"/>
    <w:rsid w:val="005C1C58"/>
    <w:rsid w:val="005D1054"/>
    <w:rsid w:val="00600034"/>
    <w:rsid w:val="0062398E"/>
    <w:rsid w:val="0065449F"/>
    <w:rsid w:val="00705830"/>
    <w:rsid w:val="00730218"/>
    <w:rsid w:val="00814A89"/>
    <w:rsid w:val="00870903"/>
    <w:rsid w:val="00873C3A"/>
    <w:rsid w:val="008E77FE"/>
    <w:rsid w:val="009A5418"/>
    <w:rsid w:val="00A009F4"/>
    <w:rsid w:val="00A057B8"/>
    <w:rsid w:val="00A07DE7"/>
    <w:rsid w:val="00A07F7A"/>
    <w:rsid w:val="00A70E5C"/>
    <w:rsid w:val="00AA0DFD"/>
    <w:rsid w:val="00AB338F"/>
    <w:rsid w:val="00B105FC"/>
    <w:rsid w:val="00B4273C"/>
    <w:rsid w:val="00B53940"/>
    <w:rsid w:val="00BA276C"/>
    <w:rsid w:val="00BF23AA"/>
    <w:rsid w:val="00C01225"/>
    <w:rsid w:val="00C26C9B"/>
    <w:rsid w:val="00C675ED"/>
    <w:rsid w:val="00C80D8E"/>
    <w:rsid w:val="00CB5F81"/>
    <w:rsid w:val="00D518C0"/>
    <w:rsid w:val="00D56725"/>
    <w:rsid w:val="00D677EA"/>
    <w:rsid w:val="00D8590A"/>
    <w:rsid w:val="00DA6975"/>
    <w:rsid w:val="00DC39E3"/>
    <w:rsid w:val="00E12132"/>
    <w:rsid w:val="00EA44B8"/>
    <w:rsid w:val="00F32939"/>
    <w:rsid w:val="00F44455"/>
    <w:rsid w:val="00F50D7D"/>
    <w:rsid w:val="00F65FA6"/>
    <w:rsid w:val="00F924DF"/>
    <w:rsid w:val="00F96E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6CED6"/>
  <w15:chartTrackingRefBased/>
  <w15:docId w15:val="{4926EA79-3304-47F7-9D16-1DBD0A0D4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F65FA6"/>
    <w:rPr>
      <w:i/>
      <w:iCs/>
    </w:rPr>
  </w:style>
  <w:style w:type="paragraph" w:styleId="FootnoteText">
    <w:name w:val="footnote text"/>
    <w:basedOn w:val="Normal"/>
    <w:link w:val="FootnoteTextChar"/>
    <w:uiPriority w:val="99"/>
    <w:semiHidden/>
    <w:unhideWhenUsed/>
    <w:rsid w:val="00F65FA6"/>
    <w:rPr>
      <w:sz w:val="20"/>
      <w:szCs w:val="20"/>
    </w:rPr>
  </w:style>
  <w:style w:type="character" w:customStyle="1" w:styleId="FootnoteTextChar">
    <w:name w:val="Footnote Text Char"/>
    <w:basedOn w:val="DefaultParagraphFont"/>
    <w:link w:val="FootnoteText"/>
    <w:uiPriority w:val="99"/>
    <w:semiHidden/>
    <w:rsid w:val="00F65FA6"/>
    <w:rPr>
      <w:sz w:val="20"/>
      <w:szCs w:val="20"/>
    </w:rPr>
  </w:style>
  <w:style w:type="character" w:styleId="FootnoteReference">
    <w:name w:val="footnote reference"/>
    <w:basedOn w:val="DefaultParagraphFont"/>
    <w:uiPriority w:val="99"/>
    <w:semiHidden/>
    <w:unhideWhenUsed/>
    <w:rsid w:val="00F65FA6"/>
    <w:rPr>
      <w:vertAlign w:val="superscript"/>
    </w:rPr>
  </w:style>
  <w:style w:type="paragraph" w:styleId="Header">
    <w:name w:val="header"/>
    <w:basedOn w:val="Normal"/>
    <w:link w:val="HeaderChar"/>
    <w:uiPriority w:val="99"/>
    <w:unhideWhenUsed/>
    <w:rsid w:val="00D677EA"/>
    <w:pPr>
      <w:tabs>
        <w:tab w:val="center" w:pos="4680"/>
        <w:tab w:val="right" w:pos="9360"/>
      </w:tabs>
    </w:pPr>
  </w:style>
  <w:style w:type="character" w:customStyle="1" w:styleId="HeaderChar">
    <w:name w:val="Header Char"/>
    <w:basedOn w:val="DefaultParagraphFont"/>
    <w:link w:val="Header"/>
    <w:uiPriority w:val="99"/>
    <w:rsid w:val="00D677EA"/>
  </w:style>
  <w:style w:type="paragraph" w:styleId="Footer">
    <w:name w:val="footer"/>
    <w:basedOn w:val="Normal"/>
    <w:link w:val="FooterChar"/>
    <w:uiPriority w:val="99"/>
    <w:unhideWhenUsed/>
    <w:rsid w:val="00D677EA"/>
    <w:pPr>
      <w:tabs>
        <w:tab w:val="center" w:pos="4680"/>
        <w:tab w:val="right" w:pos="9360"/>
      </w:tabs>
    </w:pPr>
  </w:style>
  <w:style w:type="character" w:customStyle="1" w:styleId="FooterChar">
    <w:name w:val="Footer Char"/>
    <w:basedOn w:val="DefaultParagraphFont"/>
    <w:link w:val="Footer"/>
    <w:uiPriority w:val="99"/>
    <w:rsid w:val="00D677EA"/>
  </w:style>
  <w:style w:type="paragraph" w:styleId="Bibliography">
    <w:name w:val="Bibliography"/>
    <w:basedOn w:val="Normal"/>
    <w:next w:val="Normal"/>
    <w:uiPriority w:val="37"/>
    <w:unhideWhenUsed/>
    <w:rsid w:val="005D1054"/>
    <w:pPr>
      <w:ind w:left="720" w:hanging="720"/>
    </w:pPr>
  </w:style>
  <w:style w:type="paragraph" w:styleId="BalloonText">
    <w:name w:val="Balloon Text"/>
    <w:basedOn w:val="Normal"/>
    <w:link w:val="BalloonTextChar"/>
    <w:uiPriority w:val="99"/>
    <w:semiHidden/>
    <w:unhideWhenUsed/>
    <w:rsid w:val="002176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763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4392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3713</Words>
  <Characters>21165</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DeJonge</dc:creator>
  <cp:keywords/>
  <dc:description/>
  <cp:lastModifiedBy>James Dennis LoRusso</cp:lastModifiedBy>
  <cp:revision>2</cp:revision>
  <cp:lastPrinted>2022-10-03T14:44:00Z</cp:lastPrinted>
  <dcterms:created xsi:type="dcterms:W3CDTF">2022-10-12T12:17:00Z</dcterms:created>
  <dcterms:modified xsi:type="dcterms:W3CDTF">2022-10-12T12:17:00Z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zotero-version="6.0.14"&gt;&lt;session id="OXO8UlRC"/&gt;&lt;style id="http://www.zotero.org/styles/chicago-fullnote-bibliography" locale="en-US" hasBibliography="1" bibliographyStyleHasBeenSet="1"/&gt;&lt;prefs&gt;&lt;pref name="fieldType" value="Field"/&gt;</vt:lpwstr>
  </property>
  <property fmtid="{D5CDD505-2E9C-101B-9397-08002B2CF9AE}" pid="3" name="ZOTERO_PREF_2">
    <vt:lpwstr>&lt;pref name="automaticJournalAbbreviations" value="true"/&gt;&lt;pref name="noteType" value="1"/&gt;&lt;/prefs&gt;&lt;/data&gt;</vt:lpwstr>
  </property>
</Properties>
</file>