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C195E" w:rsidRDefault="007C195E" w:rsidP="00092BEA">
      <w:pPr>
        <w:spacing w:line="480" w:lineRule="auto"/>
        <w:rPr>
          <w:rFonts w:ascii="Cambria" w:hAnsi="Cambria"/>
        </w:rPr>
      </w:pPr>
      <w:r>
        <w:rPr>
          <w:rFonts w:ascii="Cambria" w:hAnsi="Cambria"/>
        </w:rPr>
        <w:t xml:space="preserve">Mary </w:t>
      </w:r>
      <w:proofErr w:type="spellStart"/>
      <w:r>
        <w:rPr>
          <w:rFonts w:ascii="Cambria" w:hAnsi="Cambria"/>
        </w:rPr>
        <w:t>Hamner</w:t>
      </w:r>
      <w:proofErr w:type="spellEnd"/>
    </w:p>
    <w:p w:rsidR="007C195E" w:rsidRDefault="007C195E" w:rsidP="00092BEA">
      <w:pPr>
        <w:spacing w:line="480" w:lineRule="auto"/>
        <w:rPr>
          <w:rFonts w:ascii="Cambria" w:hAnsi="Cambria"/>
        </w:rPr>
      </w:pPr>
      <w:r>
        <w:rPr>
          <w:rFonts w:ascii="Cambria" w:hAnsi="Cambria"/>
        </w:rPr>
        <w:t>October 13, 2023</w:t>
      </w:r>
    </w:p>
    <w:p w:rsidR="007C195E" w:rsidRDefault="007C195E" w:rsidP="007C195E">
      <w:pPr>
        <w:rPr>
          <w:rFonts w:ascii="Cambria" w:hAnsi="Cambria"/>
        </w:rPr>
      </w:pPr>
    </w:p>
    <w:p w:rsidR="007C195E" w:rsidRDefault="006E7138" w:rsidP="00467CFF">
      <w:pPr>
        <w:spacing w:line="480" w:lineRule="auto"/>
        <w:jc w:val="center"/>
        <w:rPr>
          <w:rFonts w:ascii="Cambria" w:hAnsi="Cambria"/>
        </w:rPr>
      </w:pPr>
      <w:r>
        <w:rPr>
          <w:rFonts w:ascii="Cambria" w:hAnsi="Cambria"/>
        </w:rPr>
        <w:t>Ethnography in a Fishbowl</w:t>
      </w:r>
      <w:r w:rsidR="007C195E">
        <w:rPr>
          <w:rFonts w:ascii="Cambria" w:hAnsi="Cambria"/>
        </w:rPr>
        <w:t xml:space="preserve">: </w:t>
      </w:r>
      <w:r>
        <w:rPr>
          <w:rFonts w:ascii="Cambria" w:hAnsi="Cambria"/>
        </w:rPr>
        <w:t xml:space="preserve">Reflections on </w:t>
      </w:r>
      <w:r w:rsidR="007C195E">
        <w:rPr>
          <w:rFonts w:ascii="Cambria" w:hAnsi="Cambria"/>
        </w:rPr>
        <w:t>Schol</w:t>
      </w:r>
      <w:r w:rsidR="00533824">
        <w:rPr>
          <w:rFonts w:ascii="Cambria" w:hAnsi="Cambria"/>
        </w:rPr>
        <w:t>a</w:t>
      </w:r>
      <w:r w:rsidR="007C195E">
        <w:rPr>
          <w:rFonts w:ascii="Cambria" w:hAnsi="Cambria"/>
        </w:rPr>
        <w:t>rly Embeddedness</w:t>
      </w:r>
    </w:p>
    <w:p w:rsidR="00C839FA" w:rsidRDefault="00C839FA" w:rsidP="006D3981">
      <w:pPr>
        <w:spacing w:line="480" w:lineRule="auto"/>
        <w:ind w:firstLine="720"/>
        <w:rPr>
          <w:rFonts w:ascii="Cambria" w:hAnsi="Cambria"/>
        </w:rPr>
      </w:pPr>
      <w:r>
        <w:rPr>
          <w:rFonts w:ascii="Cambria" w:hAnsi="Cambria"/>
        </w:rPr>
        <w:t xml:space="preserve">In </w:t>
      </w:r>
      <w:r w:rsidRPr="00A4793A">
        <w:rPr>
          <w:rFonts w:ascii="Cambria" w:hAnsi="Cambria"/>
          <w:i/>
          <w:iCs/>
        </w:rPr>
        <w:t>The Book of Jerry Falwell</w:t>
      </w:r>
      <w:r w:rsidR="00A4793A">
        <w:rPr>
          <w:rFonts w:ascii="Cambria" w:hAnsi="Cambria"/>
          <w:i/>
          <w:iCs/>
        </w:rPr>
        <w:t>: Fundamentalist Language and Politics</w:t>
      </w:r>
      <w:r>
        <w:rPr>
          <w:rFonts w:ascii="Cambria" w:hAnsi="Cambria"/>
        </w:rPr>
        <w:t xml:space="preserve">, Susan Friend Harding’s ethnography of evangelical and Fundamentalist communities in Lynchburg, VA, Harding observes, seemingly with some surprise, that she is being “inhabited” by the language of her consultants. Taking her turn at a stop sign, Harding describes narrowly avoiding a collision with a speeding car appearing from nowhere. She catches herself, in the moment of relief following panic, </w:t>
      </w:r>
      <w:r w:rsidR="00317C05">
        <w:rPr>
          <w:rFonts w:ascii="Cambria" w:hAnsi="Cambria"/>
        </w:rPr>
        <w:t>saying</w:t>
      </w:r>
      <w:r>
        <w:rPr>
          <w:rFonts w:ascii="Cambria" w:hAnsi="Cambria"/>
        </w:rPr>
        <w:t>, “What is God trying to tell me?” Not her own voice, she tells us, but that of the Reverend Melvin Campbell, whom she had just finished interviewing. Conversion is “a process of acquiring a specific religious language or dialect,” and it has begun, whether or not Harding ever consented. “I was caught up in the Reverend Campbell’s stories—I had ‘caught’ his language—enough to hear God speak to me when I almost collided with another car that afternoon</w:t>
      </w:r>
      <w:r w:rsidR="00A4793A">
        <w:rPr>
          <w:rFonts w:ascii="Cambria" w:hAnsi="Cambria"/>
        </w:rPr>
        <w:t>,” she tells us. “The membrane between disbelief and belief is much thinner than we think.”</w:t>
      </w:r>
      <w:r w:rsidR="00317C05">
        <w:rPr>
          <w:rStyle w:val="FootnoteReference"/>
          <w:rFonts w:ascii="Cambria" w:hAnsi="Cambria"/>
        </w:rPr>
        <w:footnoteReference w:id="1"/>
      </w:r>
      <w:r w:rsidR="00A4793A">
        <w:rPr>
          <w:rFonts w:ascii="Cambria" w:hAnsi="Cambria"/>
        </w:rPr>
        <w:t xml:space="preserve"> The ethnographer, according to Harding, must occupy the space between in order to acquire the knowledge and experience of insiders.</w:t>
      </w:r>
    </w:p>
    <w:p w:rsidR="00A4793A" w:rsidRDefault="00A4793A" w:rsidP="00BF0A1A">
      <w:pPr>
        <w:spacing w:line="480" w:lineRule="auto"/>
        <w:rPr>
          <w:rFonts w:ascii="Cambria" w:hAnsi="Cambria"/>
        </w:rPr>
      </w:pPr>
      <w:r>
        <w:rPr>
          <w:rFonts w:ascii="Cambria" w:hAnsi="Cambria"/>
        </w:rPr>
        <w:tab/>
        <w:t>This dichotomy between belief and disbelief exists sure enough in evangelical spaces. One is saved or not saved. But the scholar comes from an infinitely wider set of possibilities. Harding’s surprise at reaching for God in a moment of panic—speaking Reverend Campbell’s word</w:t>
      </w:r>
      <w:r w:rsidR="00467C8C">
        <w:rPr>
          <w:rFonts w:ascii="Cambria" w:hAnsi="Cambria"/>
        </w:rPr>
        <w:t>s</w:t>
      </w:r>
      <w:r>
        <w:rPr>
          <w:rFonts w:ascii="Cambria" w:hAnsi="Cambria"/>
        </w:rPr>
        <w:t xml:space="preserve"> in her </w:t>
      </w:r>
      <w:r w:rsidR="00467C8C">
        <w:rPr>
          <w:rFonts w:ascii="Cambria" w:hAnsi="Cambria"/>
        </w:rPr>
        <w:t xml:space="preserve">own </w:t>
      </w:r>
      <w:r>
        <w:rPr>
          <w:rFonts w:ascii="Cambria" w:hAnsi="Cambria"/>
        </w:rPr>
        <w:t xml:space="preserve">voice—raises more questions about her than it </w:t>
      </w:r>
      <w:r>
        <w:rPr>
          <w:rFonts w:ascii="Cambria" w:hAnsi="Cambria"/>
        </w:rPr>
        <w:lastRenderedPageBreak/>
        <w:t xml:space="preserve">necessarily tells us about how evangelicals conceive of conversion. I, too, have conducted dozens of interviews over multiple years in born again spaces, and I don’t wonder at God’s mysterious plan when I have a close call on the road. </w:t>
      </w:r>
      <w:r w:rsidR="0001284E">
        <w:rPr>
          <w:rFonts w:ascii="Cambria" w:hAnsi="Cambria"/>
        </w:rPr>
        <w:t>My consultants do not speak through me, though the contents of our interviews mirror those of Harding and Campbell. So w</w:t>
      </w:r>
      <w:r>
        <w:rPr>
          <w:rFonts w:ascii="Cambria" w:hAnsi="Cambria"/>
        </w:rPr>
        <w:t>hy does Harding invoke God while I drop an “Oh shit” and then forget the encounter by the time I get home?</w:t>
      </w:r>
      <w:r w:rsidR="00053C6F">
        <w:rPr>
          <w:rFonts w:ascii="Cambria" w:hAnsi="Cambria"/>
        </w:rPr>
        <w:t xml:space="preserve"> This is an important moment for Harding. At the stop sign</w:t>
      </w:r>
      <w:r w:rsidR="008348B4">
        <w:rPr>
          <w:rFonts w:ascii="Cambria" w:hAnsi="Cambria"/>
        </w:rPr>
        <w:t xml:space="preserve"> and afterward, reflecting on her interview with the Reverend Campbell, </w:t>
      </w:r>
      <w:r w:rsidR="00165A4D">
        <w:rPr>
          <w:rFonts w:ascii="Cambria" w:hAnsi="Cambria"/>
        </w:rPr>
        <w:t>she</w:t>
      </w:r>
      <w:r w:rsidR="008348B4">
        <w:rPr>
          <w:rFonts w:ascii="Cambria" w:hAnsi="Cambria"/>
        </w:rPr>
        <w:t xml:space="preserve"> is startled to realize that one’s conscious beliefs may not be the point at all. She f</w:t>
      </w:r>
      <w:r w:rsidR="00BD1DC1">
        <w:rPr>
          <w:rFonts w:ascii="Cambria" w:hAnsi="Cambria"/>
        </w:rPr>
        <w:t>inds</w:t>
      </w:r>
      <w:r w:rsidR="008348B4">
        <w:rPr>
          <w:rFonts w:ascii="Cambria" w:hAnsi="Cambria"/>
        </w:rPr>
        <w:t xml:space="preserve"> herself pulled across that membrane </w:t>
      </w:r>
      <w:r w:rsidR="00BD1DC1">
        <w:rPr>
          <w:rFonts w:ascii="Cambria" w:hAnsi="Cambria"/>
        </w:rPr>
        <w:t xml:space="preserve">between insider and </w:t>
      </w:r>
      <w:r w:rsidR="008348B4">
        <w:rPr>
          <w:rFonts w:ascii="Cambria" w:hAnsi="Cambria"/>
        </w:rPr>
        <w:t xml:space="preserve">outsider merely by </w:t>
      </w:r>
      <w:r w:rsidR="00BD1DC1">
        <w:rPr>
          <w:rFonts w:ascii="Cambria" w:hAnsi="Cambria"/>
        </w:rPr>
        <w:t>allowing herself to be absorbed by Campbell’s narrative and spending time in his presence.</w:t>
      </w:r>
      <w:r w:rsidR="00165A4D">
        <w:rPr>
          <w:rFonts w:ascii="Cambria" w:hAnsi="Cambria"/>
        </w:rPr>
        <w:t xml:space="preserve"> </w:t>
      </w:r>
    </w:p>
    <w:p w:rsidR="00FE5D7B" w:rsidRDefault="00236141" w:rsidP="007B34D1">
      <w:pPr>
        <w:spacing w:line="480" w:lineRule="auto"/>
        <w:rPr>
          <w:rFonts w:ascii="Cambria" w:hAnsi="Cambria"/>
        </w:rPr>
      </w:pPr>
      <w:r>
        <w:rPr>
          <w:rFonts w:ascii="Cambria" w:hAnsi="Cambria"/>
        </w:rPr>
        <w:tab/>
        <w:t>This</w:t>
      </w:r>
      <w:r w:rsidR="004706CC">
        <w:rPr>
          <w:rFonts w:ascii="Cambria" w:hAnsi="Cambria"/>
        </w:rPr>
        <w:t xml:space="preserve"> </w:t>
      </w:r>
      <w:r>
        <w:rPr>
          <w:rFonts w:ascii="Cambria" w:hAnsi="Cambria"/>
        </w:rPr>
        <w:t>perhaps is the difference</w:t>
      </w:r>
      <w:r w:rsidR="00165A4D">
        <w:rPr>
          <w:rFonts w:ascii="Cambria" w:hAnsi="Cambria"/>
        </w:rPr>
        <w:t xml:space="preserve"> between us</w:t>
      </w:r>
      <w:r>
        <w:rPr>
          <w:rFonts w:ascii="Cambria" w:hAnsi="Cambria"/>
        </w:rPr>
        <w:t>, then</w:t>
      </w:r>
      <w:r w:rsidR="004706CC">
        <w:rPr>
          <w:rFonts w:ascii="Cambria" w:hAnsi="Cambria"/>
        </w:rPr>
        <w:t xml:space="preserve">. </w:t>
      </w:r>
      <w:r w:rsidR="00165A4D">
        <w:rPr>
          <w:rFonts w:ascii="Cambria" w:hAnsi="Cambria"/>
        </w:rPr>
        <w:t>Harding</w:t>
      </w:r>
      <w:r w:rsidR="00A63DCE">
        <w:rPr>
          <w:rFonts w:ascii="Cambria" w:hAnsi="Cambria"/>
        </w:rPr>
        <w:t xml:space="preserve"> has to</w:t>
      </w:r>
      <w:r w:rsidR="00165A4D">
        <w:rPr>
          <w:rFonts w:ascii="Cambria" w:hAnsi="Cambria"/>
        </w:rPr>
        <w:t xml:space="preserve"> </w:t>
      </w:r>
      <w:r w:rsidR="00165A4D" w:rsidRPr="00165A4D">
        <w:rPr>
          <w:rFonts w:ascii="Cambria" w:hAnsi="Cambria"/>
          <w:i/>
          <w:iCs/>
        </w:rPr>
        <w:t>discover</w:t>
      </w:r>
      <w:r w:rsidR="00165A4D">
        <w:rPr>
          <w:rFonts w:ascii="Cambria" w:hAnsi="Cambria"/>
        </w:rPr>
        <w:t xml:space="preserve"> the limited utility of belief in describing religion</w:t>
      </w:r>
      <w:r w:rsidR="0074141D">
        <w:rPr>
          <w:rFonts w:ascii="Cambria" w:hAnsi="Cambria"/>
        </w:rPr>
        <w:t xml:space="preserve"> over the course of her project</w:t>
      </w:r>
      <w:r w:rsidR="00165A4D">
        <w:rPr>
          <w:rFonts w:ascii="Cambria" w:hAnsi="Cambria"/>
        </w:rPr>
        <w:t xml:space="preserve">. This is a discovery that many in religious studies have to make, especially where they come from those </w:t>
      </w:r>
      <w:r w:rsidR="00DA5A62">
        <w:rPr>
          <w:rFonts w:ascii="Cambria" w:hAnsi="Cambria"/>
        </w:rPr>
        <w:t xml:space="preserve">dominating </w:t>
      </w:r>
      <w:r w:rsidR="004E0BFD">
        <w:rPr>
          <w:rFonts w:ascii="Cambria" w:hAnsi="Cambria"/>
        </w:rPr>
        <w:t>religious movements</w:t>
      </w:r>
      <w:r w:rsidR="00165A4D">
        <w:rPr>
          <w:rFonts w:ascii="Cambria" w:hAnsi="Cambria"/>
        </w:rPr>
        <w:t xml:space="preserve"> that prioritize one’s inner thoughts and feelings</w:t>
      </w:r>
      <w:r w:rsidR="00374856">
        <w:rPr>
          <w:rFonts w:ascii="Cambria" w:hAnsi="Cambria"/>
        </w:rPr>
        <w:t>. I, meanwhile, am located somewhat differently</w:t>
      </w:r>
      <w:r w:rsidR="0074141D">
        <w:rPr>
          <w:rFonts w:ascii="Cambria" w:hAnsi="Cambria"/>
        </w:rPr>
        <w:t xml:space="preserve">, coming from traditions that prioritize ritual practice and community belonging over inner </w:t>
      </w:r>
      <w:r w:rsidR="004E0BFD">
        <w:rPr>
          <w:rFonts w:ascii="Cambria" w:hAnsi="Cambria"/>
        </w:rPr>
        <w:t xml:space="preserve">personal </w:t>
      </w:r>
      <w:r w:rsidR="0074141D">
        <w:rPr>
          <w:rFonts w:ascii="Cambria" w:hAnsi="Cambria"/>
        </w:rPr>
        <w:t xml:space="preserve">conviction. </w:t>
      </w:r>
      <w:r w:rsidR="00B44DA3">
        <w:rPr>
          <w:rFonts w:ascii="Cambria" w:hAnsi="Cambria"/>
        </w:rPr>
        <w:t>As many lessons</w:t>
      </w:r>
      <w:r w:rsidR="00BB7A2A">
        <w:rPr>
          <w:rFonts w:ascii="Cambria" w:hAnsi="Cambria"/>
        </w:rPr>
        <w:t xml:space="preserve"> as</w:t>
      </w:r>
      <w:r w:rsidR="00B44DA3">
        <w:rPr>
          <w:rFonts w:ascii="Cambria" w:hAnsi="Cambria"/>
        </w:rPr>
        <w:t xml:space="preserve"> I have to learn, </w:t>
      </w:r>
      <w:r w:rsidR="0074141D">
        <w:rPr>
          <w:rFonts w:ascii="Cambria" w:hAnsi="Cambria"/>
        </w:rPr>
        <w:t xml:space="preserve">I already </w:t>
      </w:r>
      <w:r w:rsidR="0074141D" w:rsidRPr="0074141D">
        <w:rPr>
          <w:rFonts w:ascii="Cambria" w:hAnsi="Cambria"/>
          <w:i/>
          <w:iCs/>
        </w:rPr>
        <w:t>know</w:t>
      </w:r>
      <w:r w:rsidR="0074141D">
        <w:rPr>
          <w:rFonts w:ascii="Cambria" w:hAnsi="Cambria"/>
        </w:rPr>
        <w:t xml:space="preserve"> that language is enough to make someone an insider.</w:t>
      </w:r>
      <w:r w:rsidR="0001284E">
        <w:rPr>
          <w:rFonts w:ascii="Cambria" w:hAnsi="Cambria"/>
        </w:rPr>
        <w:t xml:space="preserve"> Perhaps </w:t>
      </w:r>
      <w:r w:rsidR="004C6E14">
        <w:rPr>
          <w:rFonts w:ascii="Cambria" w:hAnsi="Cambria"/>
        </w:rPr>
        <w:t>I don’t need answers to my immediate</w:t>
      </w:r>
      <w:r w:rsidR="00522902">
        <w:rPr>
          <w:rFonts w:ascii="Cambria" w:hAnsi="Cambria"/>
        </w:rPr>
        <w:t>, kneejerk</w:t>
      </w:r>
      <w:r w:rsidR="004C6E14">
        <w:rPr>
          <w:rFonts w:ascii="Cambria" w:hAnsi="Cambria"/>
        </w:rPr>
        <w:t xml:space="preserve"> questions about Harding to know that our different sociocultural locations are the </w:t>
      </w:r>
      <w:r w:rsidR="00B44DA3">
        <w:rPr>
          <w:rFonts w:ascii="Cambria" w:hAnsi="Cambria"/>
        </w:rPr>
        <w:t xml:space="preserve">likely </w:t>
      </w:r>
      <w:r w:rsidR="004C6E14">
        <w:rPr>
          <w:rFonts w:ascii="Cambria" w:hAnsi="Cambria"/>
        </w:rPr>
        <w:t>root of our disparate experiences.</w:t>
      </w:r>
      <w:r w:rsidR="00FD57A6">
        <w:rPr>
          <w:rFonts w:ascii="Cambria" w:hAnsi="Cambria"/>
        </w:rPr>
        <w:t xml:space="preserve"> </w:t>
      </w:r>
      <w:r w:rsidR="001C4CB5">
        <w:rPr>
          <w:rFonts w:ascii="Cambria" w:hAnsi="Cambria"/>
        </w:rPr>
        <w:t>We can step outside of those locations to some extent—we can play with them, cultivate an awareness of the</w:t>
      </w:r>
      <w:r w:rsidR="00B02B94">
        <w:rPr>
          <w:rFonts w:ascii="Cambria" w:hAnsi="Cambria"/>
        </w:rPr>
        <w:t>m, and note what they allow us to see and what they obscure—but we can’t ever set them down completely.</w:t>
      </w:r>
      <w:r w:rsidR="005012ED">
        <w:rPr>
          <w:rFonts w:ascii="Cambria" w:hAnsi="Cambria"/>
        </w:rPr>
        <w:t xml:space="preserve"> Furthermore, in training to become scholars and engaging in the critical </w:t>
      </w:r>
      <w:r w:rsidR="005012ED">
        <w:rPr>
          <w:rFonts w:ascii="Cambria" w:hAnsi="Cambria"/>
        </w:rPr>
        <w:lastRenderedPageBreak/>
        <w:t xml:space="preserve">study of religion, </w:t>
      </w:r>
      <w:r w:rsidR="00282729">
        <w:rPr>
          <w:rFonts w:ascii="Cambria" w:hAnsi="Cambria"/>
        </w:rPr>
        <w:t xml:space="preserve">we must adopt the assumptions </w:t>
      </w:r>
      <w:r w:rsidR="00D42436">
        <w:rPr>
          <w:rFonts w:ascii="Cambria" w:hAnsi="Cambria"/>
        </w:rPr>
        <w:t xml:space="preserve">and boundaries </w:t>
      </w:r>
      <w:r w:rsidR="00282729">
        <w:rPr>
          <w:rFonts w:ascii="Cambria" w:hAnsi="Cambria"/>
        </w:rPr>
        <w:t>of the field, which I argue continue to preference the experiences and vocabularies of Christians</w:t>
      </w:r>
      <w:r w:rsidR="00636F67">
        <w:rPr>
          <w:rFonts w:ascii="Cambria" w:hAnsi="Cambria"/>
        </w:rPr>
        <w:t xml:space="preserve"> and ex-Christians.</w:t>
      </w:r>
      <w:r w:rsidR="00F60B45">
        <w:rPr>
          <w:rFonts w:ascii="Cambria" w:hAnsi="Cambria"/>
        </w:rPr>
        <w:t xml:space="preserve"> </w:t>
      </w:r>
    </w:p>
    <w:p w:rsidR="00D97CD3" w:rsidRDefault="00FE5D7B" w:rsidP="00A848E1">
      <w:pPr>
        <w:spacing w:line="480" w:lineRule="auto"/>
        <w:ind w:firstLine="720"/>
        <w:rPr>
          <w:rFonts w:ascii="Cambria" w:hAnsi="Cambria"/>
        </w:rPr>
      </w:pPr>
      <w:r>
        <w:rPr>
          <w:rFonts w:ascii="Cambria" w:hAnsi="Cambria"/>
        </w:rPr>
        <w:t xml:space="preserve">If language acquisition is an early step in the experience of conversion, </w:t>
      </w:r>
      <w:r w:rsidR="00103ECD">
        <w:rPr>
          <w:rFonts w:ascii="Cambria" w:hAnsi="Cambria"/>
        </w:rPr>
        <w:t xml:space="preserve">as Harding asserts, </w:t>
      </w:r>
      <w:r>
        <w:rPr>
          <w:rFonts w:ascii="Cambria" w:hAnsi="Cambria"/>
        </w:rPr>
        <w:t xml:space="preserve">then some of us necessarily start at different points than others. We may already have shared vocabularies—the same words with different meanings—or we may be in neighboring language families. The difference may be one of dialect rather than language. Some of us, however, may be working with completely different linguistic tools and </w:t>
      </w:r>
      <w:r w:rsidR="00370E88">
        <w:rPr>
          <w:rFonts w:ascii="Cambria" w:hAnsi="Cambria"/>
        </w:rPr>
        <w:t xml:space="preserve">within different </w:t>
      </w:r>
      <w:r>
        <w:rPr>
          <w:rFonts w:ascii="Cambria" w:hAnsi="Cambria"/>
        </w:rPr>
        <w:t>frameworks—places too far away to have an experience like the one Harding describes.</w:t>
      </w:r>
      <w:r w:rsidR="00370E88">
        <w:rPr>
          <w:rFonts w:ascii="Cambria" w:hAnsi="Cambria"/>
        </w:rPr>
        <w:t xml:space="preserve"> As a scholar, I know I shouldn’t be left wondering about Harding’s mother tongue. I shouldn’t need to know anything about the scholar—we all learn to set ourselves aside in order to ask academic questions</w:t>
      </w:r>
      <w:r w:rsidR="00C664CA">
        <w:rPr>
          <w:rFonts w:ascii="Cambria" w:hAnsi="Cambria"/>
        </w:rPr>
        <w:t xml:space="preserve">. The point is never to produce memoir or to process our own religious upbringings. </w:t>
      </w:r>
      <w:r w:rsidR="00FB26BC">
        <w:rPr>
          <w:rFonts w:ascii="Cambria" w:hAnsi="Cambria"/>
        </w:rPr>
        <w:t xml:space="preserve">I also know, however, that we never actually set down our personal histories. Our vocabularies, our relationships, our cosmologies aren’t voluntary. We can step outside of some parts of them, and we can acquire new ones, but </w:t>
      </w:r>
      <w:r w:rsidR="00F5555A">
        <w:rPr>
          <w:rFonts w:ascii="Cambria" w:hAnsi="Cambria"/>
        </w:rPr>
        <w:t>to some extent we are invisible to ourselves.</w:t>
      </w:r>
      <w:r w:rsidR="002C78D3">
        <w:rPr>
          <w:rFonts w:ascii="Cambria" w:hAnsi="Cambria"/>
        </w:rPr>
        <w:t xml:space="preserve"> Even where we leave, we deconstruct, we adopt other traditions, or we assert our commitment to secularism, we never fully </w:t>
      </w:r>
      <w:r w:rsidR="00367A00">
        <w:rPr>
          <w:rFonts w:ascii="Cambria" w:hAnsi="Cambria"/>
        </w:rPr>
        <w:t>set them down. This is especially true if those backgrounds are normative.</w:t>
      </w:r>
      <w:r w:rsidR="006C1732">
        <w:rPr>
          <w:rFonts w:ascii="Cambria" w:hAnsi="Cambria"/>
        </w:rPr>
        <w:t xml:space="preserve"> </w:t>
      </w:r>
    </w:p>
    <w:p w:rsidR="00404643" w:rsidRDefault="00D97CD3" w:rsidP="00A848E1">
      <w:pPr>
        <w:spacing w:line="480" w:lineRule="auto"/>
        <w:ind w:firstLine="720"/>
        <w:rPr>
          <w:rFonts w:ascii="Cambria" w:hAnsi="Cambria"/>
        </w:rPr>
      </w:pPr>
      <w:r>
        <w:rPr>
          <w:rFonts w:ascii="Cambria" w:hAnsi="Cambria"/>
        </w:rPr>
        <w:t xml:space="preserve">In </w:t>
      </w:r>
      <w:r w:rsidRPr="002E0359">
        <w:rPr>
          <w:rFonts w:ascii="Cambria" w:hAnsi="Cambria"/>
          <w:i/>
          <w:iCs/>
        </w:rPr>
        <w:t>Playing in the Dark: Whiteness and the Literary Imagination</w:t>
      </w:r>
      <w:r>
        <w:rPr>
          <w:rFonts w:ascii="Cambria" w:hAnsi="Cambria"/>
        </w:rPr>
        <w:t>, Toni Morrison describes the fabrication of the Africanist other in American literature</w:t>
      </w:r>
      <w:r w:rsidR="00B627BD">
        <w:rPr>
          <w:rFonts w:ascii="Cambria" w:hAnsi="Cambria"/>
        </w:rPr>
        <w:t xml:space="preserve"> using the metaphor of the fishbowl: </w:t>
      </w:r>
    </w:p>
    <w:p w:rsidR="00D97CD3" w:rsidRDefault="00B627BD" w:rsidP="00A848E1">
      <w:pPr>
        <w:spacing w:line="480" w:lineRule="auto"/>
        <w:ind w:left="720"/>
        <w:rPr>
          <w:rFonts w:ascii="Cambria" w:hAnsi="Cambria"/>
        </w:rPr>
      </w:pPr>
      <w:r>
        <w:rPr>
          <w:rFonts w:ascii="Cambria" w:hAnsi="Cambria"/>
        </w:rPr>
        <w:t>As a writer read</w:t>
      </w:r>
      <w:r w:rsidR="00B85A29">
        <w:rPr>
          <w:rFonts w:ascii="Cambria" w:hAnsi="Cambria"/>
        </w:rPr>
        <w:t>i</w:t>
      </w:r>
      <w:r>
        <w:rPr>
          <w:rFonts w:ascii="Cambria" w:hAnsi="Cambria"/>
        </w:rPr>
        <w:t>ng, I came to realize the obvious: the subject of the dream is the dreamer.</w:t>
      </w:r>
      <w:r w:rsidR="00404643">
        <w:rPr>
          <w:rFonts w:ascii="Cambria" w:hAnsi="Cambria"/>
        </w:rPr>
        <w:t xml:space="preserve"> </w:t>
      </w:r>
      <w:r>
        <w:rPr>
          <w:rFonts w:ascii="Cambria" w:hAnsi="Cambria"/>
        </w:rPr>
        <w:t xml:space="preserve">The fabrication of an Africanist persona is reflexive; an extraordinary mediation on the self; a powerful exploration of the fears and desires that reside in </w:t>
      </w:r>
      <w:r>
        <w:rPr>
          <w:rFonts w:ascii="Cambria" w:hAnsi="Cambria"/>
        </w:rPr>
        <w:lastRenderedPageBreak/>
        <w:t>the writerly conscious</w:t>
      </w:r>
      <w:proofErr w:type="gramStart"/>
      <w:r>
        <w:rPr>
          <w:rFonts w:ascii="Cambria" w:hAnsi="Cambria"/>
        </w:rPr>
        <w:t>….It</w:t>
      </w:r>
      <w:proofErr w:type="gramEnd"/>
      <w:r>
        <w:rPr>
          <w:rFonts w:ascii="Cambria" w:hAnsi="Cambria"/>
        </w:rPr>
        <w:t xml:space="preserve"> is as i</w:t>
      </w:r>
      <w:r w:rsidR="00404643">
        <w:rPr>
          <w:rFonts w:ascii="Cambria" w:hAnsi="Cambria"/>
        </w:rPr>
        <w:t>f</w:t>
      </w:r>
      <w:r>
        <w:rPr>
          <w:rFonts w:ascii="Cambria" w:hAnsi="Cambria"/>
        </w:rPr>
        <w:t xml:space="preserve"> I had been looking at a fishbowl [and focusing on its contents]…and suddenly I saw the bowl, the structure </w:t>
      </w:r>
      <w:r w:rsidR="009D1DE1">
        <w:rPr>
          <w:rFonts w:ascii="Cambria" w:hAnsi="Cambria"/>
        </w:rPr>
        <w:t>that transparently (and invisibly) permits the ordered life it contains to exist in the larger world.</w:t>
      </w:r>
      <w:r w:rsidR="009D566F">
        <w:rPr>
          <w:rStyle w:val="FootnoteReference"/>
          <w:rFonts w:ascii="Cambria" w:hAnsi="Cambria"/>
        </w:rPr>
        <w:footnoteReference w:id="2"/>
      </w:r>
    </w:p>
    <w:p w:rsidR="004B716A" w:rsidRDefault="00BD7A6C" w:rsidP="00303156">
      <w:pPr>
        <w:spacing w:line="480" w:lineRule="auto"/>
        <w:rPr>
          <w:rFonts w:ascii="Cambria" w:hAnsi="Cambria"/>
        </w:rPr>
      </w:pPr>
      <w:r>
        <w:rPr>
          <w:rFonts w:ascii="Cambria" w:hAnsi="Cambria"/>
        </w:rPr>
        <w:t xml:space="preserve">Whiteness </w:t>
      </w:r>
      <w:r w:rsidR="00404643">
        <w:rPr>
          <w:rFonts w:ascii="Cambria" w:hAnsi="Cambria"/>
        </w:rPr>
        <w:t xml:space="preserve">functions as </w:t>
      </w:r>
      <w:r>
        <w:rPr>
          <w:rFonts w:ascii="Cambria" w:hAnsi="Cambria"/>
        </w:rPr>
        <w:t xml:space="preserve">the bowl </w:t>
      </w:r>
      <w:r w:rsidR="00404643">
        <w:rPr>
          <w:rFonts w:ascii="Cambria" w:hAnsi="Cambria"/>
        </w:rPr>
        <w:t xml:space="preserve">that allows us to construct Blackness, establishing an invisible, </w:t>
      </w:r>
      <w:r w:rsidR="00771107">
        <w:rPr>
          <w:rFonts w:ascii="Cambria" w:hAnsi="Cambria"/>
        </w:rPr>
        <w:t xml:space="preserve">all-encompassing, deeply entrenched set of parameters and barriers that </w:t>
      </w:r>
      <w:r w:rsidR="009153A1">
        <w:rPr>
          <w:rFonts w:ascii="Cambria" w:hAnsi="Cambria"/>
        </w:rPr>
        <w:t>not only allows but actually depends on the process of othering.</w:t>
      </w:r>
      <w:r w:rsidR="005D6CE7">
        <w:rPr>
          <w:rFonts w:ascii="Cambria" w:hAnsi="Cambria"/>
        </w:rPr>
        <w:t xml:space="preserve"> </w:t>
      </w:r>
      <w:r w:rsidR="004B716A">
        <w:rPr>
          <w:rFonts w:ascii="Cambria" w:hAnsi="Cambria"/>
        </w:rPr>
        <w:t xml:space="preserve">Once we become aware of the bowl—if indeed we have been privileged enough to not </w:t>
      </w:r>
      <w:r w:rsidR="004B716A" w:rsidRPr="004B716A">
        <w:rPr>
          <w:rFonts w:ascii="Cambria" w:hAnsi="Cambria"/>
          <w:i/>
          <w:iCs/>
        </w:rPr>
        <w:t>need</w:t>
      </w:r>
      <w:r w:rsidR="004B716A">
        <w:rPr>
          <w:rFonts w:ascii="Cambria" w:hAnsi="Cambria"/>
        </w:rPr>
        <w:t xml:space="preserve"> to be aware of the bowl—it is impossible to unsee. Morrison goes on to describe how </w:t>
      </w:r>
      <w:r w:rsidR="00A27F55">
        <w:rPr>
          <w:rFonts w:ascii="Cambria" w:hAnsi="Cambria"/>
        </w:rPr>
        <w:t xml:space="preserve">this awareness shifts </w:t>
      </w:r>
      <w:r w:rsidR="00F110E3">
        <w:rPr>
          <w:rFonts w:ascii="Cambria" w:hAnsi="Cambria"/>
        </w:rPr>
        <w:t>what she sees when she</w:t>
      </w:r>
      <w:r w:rsidR="00A27F55">
        <w:rPr>
          <w:rFonts w:ascii="Cambria" w:hAnsi="Cambria"/>
        </w:rPr>
        <w:t xml:space="preserve"> </w:t>
      </w:r>
      <w:r w:rsidR="00F110E3">
        <w:rPr>
          <w:rFonts w:ascii="Cambria" w:hAnsi="Cambria"/>
        </w:rPr>
        <w:t>reads</w:t>
      </w:r>
      <w:r w:rsidR="00A27F55">
        <w:rPr>
          <w:rFonts w:ascii="Cambria" w:hAnsi="Cambria"/>
        </w:rPr>
        <w:t xml:space="preserve"> books, as well as how she writes them.</w:t>
      </w:r>
      <w:r w:rsidR="005C1B67">
        <w:rPr>
          <w:rFonts w:ascii="Cambria" w:hAnsi="Cambria"/>
        </w:rPr>
        <w:t xml:space="preserve"> We are then left wrestling with the question of whether or not it’s even possible for the fish in the bowl to choose to live outside of it. Seeing the bowl is one thing, but escaping it quite another.</w:t>
      </w:r>
    </w:p>
    <w:p w:rsidR="00FC3733" w:rsidRDefault="00FC3733" w:rsidP="007C101E">
      <w:pPr>
        <w:spacing w:line="480" w:lineRule="auto"/>
        <w:ind w:firstLine="720"/>
        <w:rPr>
          <w:rFonts w:ascii="Cambria" w:hAnsi="Cambria"/>
        </w:rPr>
      </w:pPr>
      <w:r>
        <w:rPr>
          <w:rFonts w:ascii="Cambria" w:hAnsi="Cambria"/>
        </w:rPr>
        <w:t>In religious studies, that bowl that Morrison describes is not only whiteness, it is also Protestant Christianity. From our founding, canonical texts to what we prioritize in defining religion, to the comparative methods that so many still rely on, Protestantism occupies a privileged position in both our scholarship and our teaching. My own work as both an ethnographer and as a graduate student have taught me that this is true regardless of whether or not we actually consider ourselves Protestants. Whether or not we have left our religious upbringings behind—which is an experience that many scholars engaged in what we call the critical study of religion describe in their ethnographic work—we can’t completely shed the embeddedness that comes from a lifetime of existing in a particular fishbowl.</w:t>
      </w:r>
      <w:r w:rsidR="00953187" w:rsidRPr="006335D4">
        <w:rPr>
          <w:rFonts w:ascii="Cambria" w:hAnsi="Cambria"/>
        </w:rPr>
        <w:tab/>
      </w:r>
    </w:p>
    <w:p w:rsidR="009D566F" w:rsidRPr="00733709" w:rsidRDefault="006335D4" w:rsidP="00E32C08">
      <w:pPr>
        <w:spacing w:line="480" w:lineRule="auto"/>
        <w:ind w:firstLine="720"/>
        <w:rPr>
          <w:rFonts w:ascii="Cambria" w:hAnsi="Cambria" w:cs="Times New Roman"/>
          <w:color w:val="000000"/>
        </w:rPr>
      </w:pPr>
      <w:r w:rsidRPr="006335D4">
        <w:rPr>
          <w:rFonts w:ascii="Cambria" w:hAnsi="Cambria" w:cs="Times New Roman"/>
          <w:color w:val="000000"/>
        </w:rPr>
        <w:lastRenderedPageBreak/>
        <w:t xml:space="preserve">Bruce Lincoln composed his well-circulated “Theses on Methods” in the early 1990s to directly address what he saw as a lack of critical engagement amongst historians of religion. Lincoln’s concern was that scholars are too precious in the handling of their religious subjects. If we are unable to critique the peoples and traditions that we study—which entails treating them as subjects that can be dissected, analyzed, compared, and evaluated, and may sometimes require presenting them unfavorably—then we are not truly conducting scholarship. Instead, we become advocates, caretakers, cheerleaders, or are otherwise blinded by subjective ideology. In </w:t>
      </w:r>
      <w:r>
        <w:rPr>
          <w:rFonts w:ascii="Cambria" w:hAnsi="Cambria" w:cs="Times New Roman"/>
          <w:color w:val="000000"/>
        </w:rPr>
        <w:t>his thirteenth and final thesis, he asserts, “When one permits those whom one studies to define the terms in which they will be understood, suspends one’s interest in the temporal and contingent, or fails to distinguish between ‘truths,’ ‘truth claims,’ and ‘regimes of truth,’ one has ceased to function as historian or scholar.”</w:t>
      </w:r>
      <w:r>
        <w:rPr>
          <w:rStyle w:val="FootnoteReference"/>
          <w:rFonts w:ascii="Cambria" w:hAnsi="Cambria" w:cs="Times New Roman"/>
          <w:color w:val="000000"/>
        </w:rPr>
        <w:footnoteReference w:id="3"/>
      </w:r>
      <w:r w:rsidR="00984B86">
        <w:rPr>
          <w:rFonts w:ascii="Cambria" w:hAnsi="Cambria" w:cs="Times New Roman"/>
          <w:color w:val="000000"/>
        </w:rPr>
        <w:t xml:space="preserve"> Initially, this feels true enough. “Theses on Method” has been one of the introductory texts in almost every religious studies survey course I’ve taken</w:t>
      </w:r>
      <w:r w:rsidR="00FC3733">
        <w:rPr>
          <w:rFonts w:ascii="Cambria" w:hAnsi="Cambria" w:cs="Times New Roman"/>
          <w:color w:val="000000"/>
        </w:rPr>
        <w:t xml:space="preserve"> or helped to facilitate</w:t>
      </w:r>
      <w:r w:rsidR="00984B86">
        <w:rPr>
          <w:rFonts w:ascii="Cambria" w:hAnsi="Cambria" w:cs="Times New Roman"/>
          <w:color w:val="000000"/>
        </w:rPr>
        <w:t xml:space="preserve">, at every level, and for good reason. The leap from religious </w:t>
      </w:r>
      <w:r w:rsidR="00DF1A51">
        <w:rPr>
          <w:rFonts w:ascii="Cambria" w:hAnsi="Cambria" w:cs="Times New Roman"/>
          <w:color w:val="000000"/>
        </w:rPr>
        <w:t>insider to scholarly outsider is a difficult one for many students</w:t>
      </w:r>
      <w:r w:rsidR="00FC3733">
        <w:rPr>
          <w:rFonts w:ascii="Cambria" w:hAnsi="Cambria" w:cs="Times New Roman"/>
          <w:color w:val="000000"/>
        </w:rPr>
        <w:t xml:space="preserve"> learning to think critically</w:t>
      </w:r>
      <w:r w:rsidR="00DF1A51">
        <w:rPr>
          <w:rFonts w:ascii="Cambria" w:hAnsi="Cambria" w:cs="Times New Roman"/>
          <w:color w:val="000000"/>
        </w:rPr>
        <w:t>, especially in the American south, and in a political climate that elevates Christian voices.</w:t>
      </w:r>
      <w:r w:rsidR="00FC3733">
        <w:rPr>
          <w:rFonts w:ascii="Cambria" w:hAnsi="Cambria" w:cs="Times New Roman"/>
          <w:color w:val="000000"/>
        </w:rPr>
        <w:t xml:space="preserve"> However, this final thesis raises a question for me in light of Morrison’s analogy</w:t>
      </w:r>
      <w:r w:rsidR="002C1A0B">
        <w:rPr>
          <w:rFonts w:ascii="Cambria" w:hAnsi="Cambria" w:cs="Times New Roman"/>
          <w:color w:val="000000"/>
        </w:rPr>
        <w:t>: i</w:t>
      </w:r>
      <w:r w:rsidR="00FC3733">
        <w:rPr>
          <w:rFonts w:ascii="Cambria" w:hAnsi="Cambria" w:cs="Times New Roman"/>
          <w:color w:val="000000"/>
        </w:rPr>
        <w:t xml:space="preserve">f we should not allow those whom we study to define the terms in which they will be understood, what should we do when the </w:t>
      </w:r>
      <w:r w:rsidR="002C1A0B">
        <w:rPr>
          <w:rFonts w:ascii="Cambria" w:hAnsi="Cambria" w:cs="Times New Roman"/>
          <w:color w:val="000000"/>
        </w:rPr>
        <w:t xml:space="preserve">terms in question also comprise the normative language of scholars? </w:t>
      </w:r>
      <w:r w:rsidR="009904C5">
        <w:rPr>
          <w:rFonts w:ascii="Cambria" w:hAnsi="Cambria" w:cs="Times New Roman"/>
          <w:color w:val="000000"/>
        </w:rPr>
        <w:t xml:space="preserve">When the language of </w:t>
      </w:r>
      <w:r w:rsidR="009904C5" w:rsidRPr="009904C5">
        <w:rPr>
          <w:rFonts w:ascii="Cambria" w:hAnsi="Cambria" w:cs="Times New Roman"/>
          <w:i/>
          <w:iCs/>
          <w:color w:val="000000"/>
        </w:rPr>
        <w:t>belief</w:t>
      </w:r>
      <w:r w:rsidR="009904C5">
        <w:rPr>
          <w:rFonts w:ascii="Cambria" w:hAnsi="Cambria" w:cs="Times New Roman"/>
          <w:color w:val="000000"/>
        </w:rPr>
        <w:t xml:space="preserve">, </w:t>
      </w:r>
      <w:r w:rsidR="009904C5" w:rsidRPr="009904C5">
        <w:rPr>
          <w:rFonts w:ascii="Cambria" w:hAnsi="Cambria" w:cs="Times New Roman"/>
          <w:i/>
          <w:iCs/>
          <w:color w:val="000000"/>
        </w:rPr>
        <w:t>faith</w:t>
      </w:r>
      <w:r w:rsidR="009904C5">
        <w:rPr>
          <w:rFonts w:ascii="Cambria" w:hAnsi="Cambria" w:cs="Times New Roman"/>
          <w:color w:val="000000"/>
        </w:rPr>
        <w:t xml:space="preserve">, </w:t>
      </w:r>
      <w:r w:rsidR="009904C5" w:rsidRPr="009904C5">
        <w:rPr>
          <w:rFonts w:ascii="Cambria" w:hAnsi="Cambria" w:cs="Times New Roman"/>
          <w:i/>
          <w:iCs/>
          <w:color w:val="000000"/>
        </w:rPr>
        <w:t>worship</w:t>
      </w:r>
      <w:r w:rsidR="009904C5">
        <w:rPr>
          <w:rFonts w:ascii="Cambria" w:hAnsi="Cambria" w:cs="Times New Roman"/>
          <w:color w:val="000000"/>
        </w:rPr>
        <w:t xml:space="preserve">, </w:t>
      </w:r>
      <w:r w:rsidR="00805847" w:rsidRPr="00805847">
        <w:rPr>
          <w:rFonts w:ascii="Cambria" w:hAnsi="Cambria" w:cs="Times New Roman"/>
          <w:i/>
          <w:iCs/>
          <w:color w:val="000000"/>
        </w:rPr>
        <w:t>denomination</w:t>
      </w:r>
      <w:r w:rsidR="00805847">
        <w:rPr>
          <w:rFonts w:ascii="Cambria" w:hAnsi="Cambria" w:cs="Times New Roman"/>
          <w:color w:val="000000"/>
        </w:rPr>
        <w:t xml:space="preserve">, </w:t>
      </w:r>
      <w:r w:rsidR="009904C5">
        <w:rPr>
          <w:rFonts w:ascii="Cambria" w:hAnsi="Cambria" w:cs="Times New Roman"/>
          <w:color w:val="000000"/>
        </w:rPr>
        <w:t xml:space="preserve">and </w:t>
      </w:r>
      <w:r w:rsidR="009904C5" w:rsidRPr="009904C5">
        <w:rPr>
          <w:rFonts w:ascii="Cambria" w:hAnsi="Cambria" w:cs="Times New Roman"/>
          <w:i/>
          <w:iCs/>
          <w:color w:val="000000"/>
        </w:rPr>
        <w:t>God</w:t>
      </w:r>
      <w:r w:rsidR="009904C5">
        <w:rPr>
          <w:rFonts w:ascii="Cambria" w:hAnsi="Cambria" w:cs="Times New Roman"/>
          <w:color w:val="000000"/>
        </w:rPr>
        <w:t xml:space="preserve"> are treated as neutral and </w:t>
      </w:r>
      <w:r w:rsidR="009904C5">
        <w:rPr>
          <w:rFonts w:ascii="Cambria" w:hAnsi="Cambria" w:cs="Times New Roman"/>
          <w:color w:val="000000"/>
        </w:rPr>
        <w:lastRenderedPageBreak/>
        <w:t>normative</w:t>
      </w:r>
      <w:r w:rsidR="008F11BB">
        <w:rPr>
          <w:rFonts w:ascii="Cambria" w:hAnsi="Cambria" w:cs="Times New Roman"/>
          <w:color w:val="000000"/>
        </w:rPr>
        <w:t>—the result of our own disciplinary history and individual embeddedness—</w:t>
      </w:r>
      <w:r w:rsidR="00720A25">
        <w:rPr>
          <w:rFonts w:ascii="Cambria" w:hAnsi="Cambria" w:cs="Times New Roman"/>
          <w:color w:val="000000"/>
        </w:rPr>
        <w:t>are we not also failing to suspend our interests</w:t>
      </w:r>
      <w:r w:rsidR="00F4260A">
        <w:rPr>
          <w:rFonts w:ascii="Cambria" w:hAnsi="Cambria" w:cs="Times New Roman"/>
          <w:color w:val="000000"/>
        </w:rPr>
        <w:t xml:space="preserve"> and compromising our mission as scholars</w:t>
      </w:r>
      <w:r w:rsidR="00720A25">
        <w:rPr>
          <w:rFonts w:ascii="Cambria" w:hAnsi="Cambria" w:cs="Times New Roman"/>
          <w:color w:val="000000"/>
        </w:rPr>
        <w:t>?</w:t>
      </w:r>
    </w:p>
    <w:p w:rsidR="00B3283F" w:rsidRDefault="00B3283F" w:rsidP="00E32C08">
      <w:pPr>
        <w:spacing w:line="480" w:lineRule="auto"/>
        <w:ind w:firstLine="720"/>
        <w:rPr>
          <w:rFonts w:ascii="Cambria" w:hAnsi="Cambria"/>
        </w:rPr>
      </w:pPr>
      <w:r>
        <w:rPr>
          <w:rFonts w:ascii="Cambria" w:hAnsi="Cambria"/>
        </w:rPr>
        <w:t xml:space="preserve">Sometimes I play a game with myself where I imagine what my field notes would look like if another set of religious vocabulary was normative. If Protestantism wasn’t the fishbowl </w:t>
      </w:r>
      <w:r w:rsidR="00825EB5">
        <w:rPr>
          <w:rFonts w:ascii="Cambria" w:hAnsi="Cambria"/>
        </w:rPr>
        <w:t xml:space="preserve">surrounding our notions of the secular, how might we think about these more familiar rituals that so many take for granted simply because they’re what they grew up with, not just in the water but making up the bowl itself? What if, in the spirit of play, we imagined that a new religious movement like contemporary Paganism was normative, its language and perspectives treated as objective and neutral? </w:t>
      </w:r>
      <w:r w:rsidR="00C357AA">
        <w:rPr>
          <w:rFonts w:ascii="Cambria" w:hAnsi="Cambria"/>
        </w:rPr>
        <w:t xml:space="preserve">Alongside of my </w:t>
      </w:r>
      <w:proofErr w:type="spellStart"/>
      <w:r w:rsidR="00C357AA">
        <w:rPr>
          <w:rFonts w:ascii="Cambria" w:hAnsi="Cambria"/>
        </w:rPr>
        <w:t>longterm</w:t>
      </w:r>
      <w:proofErr w:type="spellEnd"/>
      <w:r w:rsidR="00C357AA">
        <w:rPr>
          <w:rFonts w:ascii="Cambria" w:hAnsi="Cambria"/>
        </w:rPr>
        <w:t xml:space="preserve"> ethnographic work with evangelical megachurches, I’ve also conducted smaller projects amongst Wiccan communities, and I like to imagine how </w:t>
      </w:r>
      <w:r w:rsidR="00A67883">
        <w:rPr>
          <w:rFonts w:ascii="Cambria" w:hAnsi="Cambria"/>
        </w:rPr>
        <w:t>these interlocuters might interpret a Sunday worship experience. It might go something like this:</w:t>
      </w:r>
    </w:p>
    <w:p w:rsidR="00170949" w:rsidRDefault="00A67883" w:rsidP="00A956EF">
      <w:pPr>
        <w:spacing w:line="480" w:lineRule="auto"/>
        <w:ind w:firstLine="720"/>
        <w:rPr>
          <w:rFonts w:ascii="Cambria" w:hAnsi="Cambria"/>
        </w:rPr>
      </w:pPr>
      <w:r>
        <w:rPr>
          <w:rFonts w:ascii="Cambria" w:hAnsi="Cambria"/>
        </w:rPr>
        <w:t xml:space="preserve">Evangelical Protestant initiates and dedicants file into the ritual space when the summoners open the temple doors. Eschewing the outdoors—as most Protestants do, except for on special festive occasions usually coinciding with the spring equinox </w:t>
      </w:r>
      <w:r w:rsidR="00F21F11">
        <w:rPr>
          <w:rFonts w:ascii="Cambria" w:hAnsi="Cambria"/>
        </w:rPr>
        <w:t xml:space="preserve">or the winter solstice </w:t>
      </w:r>
      <w:r>
        <w:rPr>
          <w:rFonts w:ascii="Cambria" w:hAnsi="Cambria"/>
        </w:rPr>
        <w:t>when they gather for games</w:t>
      </w:r>
      <w:r w:rsidR="00F21F11">
        <w:rPr>
          <w:rFonts w:ascii="Cambria" w:hAnsi="Cambria"/>
        </w:rPr>
        <w:t>, song,</w:t>
      </w:r>
      <w:r>
        <w:rPr>
          <w:rFonts w:ascii="Cambria" w:hAnsi="Cambria"/>
        </w:rPr>
        <w:t xml:space="preserve"> and feasting on the lawn—evangelicals sit in rows, the boundaries of the temple guarded by members dressed in black who usher them to their positions and ensure that they have the tools they need to participate. </w:t>
      </w:r>
      <w:r w:rsidR="00170949">
        <w:rPr>
          <w:rFonts w:ascii="Cambria" w:hAnsi="Cambria"/>
        </w:rPr>
        <w:t xml:space="preserve">Much of the work of erecting the circle—usually a rectangle, in fact—happens amongst the tradition’s leaders prior to the arrival </w:t>
      </w:r>
      <w:r w:rsidR="00331C4E">
        <w:rPr>
          <w:rFonts w:ascii="Cambria" w:hAnsi="Cambria"/>
        </w:rPr>
        <w:t xml:space="preserve">of attendees and guests. Priests and priestesses cleanse the space with sacred music, erect whatever props </w:t>
      </w:r>
      <w:r w:rsidR="005001FC">
        <w:rPr>
          <w:rFonts w:ascii="Cambria" w:hAnsi="Cambria"/>
        </w:rPr>
        <w:t xml:space="preserve">are </w:t>
      </w:r>
      <w:r w:rsidR="00331C4E">
        <w:rPr>
          <w:rFonts w:ascii="Cambria" w:hAnsi="Cambria"/>
        </w:rPr>
        <w:t xml:space="preserve">needed to create the proper atmosphere for the week’s circle, privately invoke Jehovah, Adonai, Jesus Christ, the Holy Spirit, or potentially other deities and ancestral spirits, and even enchant </w:t>
      </w:r>
      <w:r w:rsidR="00B544B5">
        <w:rPr>
          <w:rFonts w:ascii="Cambria" w:hAnsi="Cambria"/>
        </w:rPr>
        <w:t xml:space="preserve">ballpoint </w:t>
      </w:r>
      <w:r w:rsidR="00331C4E">
        <w:rPr>
          <w:rFonts w:ascii="Cambria" w:hAnsi="Cambria"/>
        </w:rPr>
        <w:t xml:space="preserve">pens </w:t>
      </w:r>
      <w:r w:rsidR="00331C4E">
        <w:rPr>
          <w:rFonts w:ascii="Cambria" w:hAnsi="Cambria"/>
        </w:rPr>
        <w:lastRenderedPageBreak/>
        <w:t xml:space="preserve">decorated with the group’s sigil so that as participants take notes they may do so with the blessings of these spirits. </w:t>
      </w:r>
      <w:r w:rsidR="001A3A35">
        <w:rPr>
          <w:rFonts w:ascii="Cambria" w:hAnsi="Cambria"/>
        </w:rPr>
        <w:t>When</w:t>
      </w:r>
      <w:r w:rsidR="004D392D">
        <w:rPr>
          <w:rFonts w:ascii="Cambria" w:hAnsi="Cambria"/>
        </w:rPr>
        <w:t xml:space="preserve"> the door to the temple is secured, musicians begin the process of raising energy by leading the group in song.</w:t>
      </w:r>
      <w:r w:rsidR="002F7990">
        <w:rPr>
          <w:rFonts w:ascii="Cambria" w:hAnsi="Cambria"/>
        </w:rPr>
        <w:t xml:space="preserve"> </w:t>
      </w:r>
      <w:r w:rsidR="00A40D85">
        <w:rPr>
          <w:rFonts w:ascii="Cambria" w:hAnsi="Cambria"/>
        </w:rPr>
        <w:t>Once the initial invocations have concluded and the energy of the</w:t>
      </w:r>
      <w:r w:rsidR="00F21F11">
        <w:rPr>
          <w:rFonts w:ascii="Cambria" w:hAnsi="Cambria"/>
        </w:rPr>
        <w:t xml:space="preserve"> </w:t>
      </w:r>
      <w:r w:rsidR="00A40D85">
        <w:rPr>
          <w:rFonts w:ascii="Cambria" w:hAnsi="Cambria"/>
        </w:rPr>
        <w:t xml:space="preserve">space </w:t>
      </w:r>
      <w:r w:rsidR="00F21F11">
        <w:rPr>
          <w:rFonts w:ascii="Cambria" w:hAnsi="Cambria"/>
        </w:rPr>
        <w:t xml:space="preserve">has been </w:t>
      </w:r>
      <w:r w:rsidR="00A40D85">
        <w:rPr>
          <w:rFonts w:ascii="Cambria" w:hAnsi="Cambria"/>
        </w:rPr>
        <w:t xml:space="preserve">raised, initiates direct it toward the stage, where the high priest will deliver a message from Jehovah, Jesus Christ, Paul, or other members of the Christian pantheon. </w:t>
      </w:r>
      <w:r w:rsidR="002F7990">
        <w:rPr>
          <w:rFonts w:ascii="Cambria" w:hAnsi="Cambria"/>
        </w:rPr>
        <w:t>The high priest typically works alone, but he may be assisted by his consort</w:t>
      </w:r>
      <w:r w:rsidR="00E9496C">
        <w:rPr>
          <w:rFonts w:ascii="Cambria" w:hAnsi="Cambria"/>
        </w:rPr>
        <w:t>, who rules over the tradition’s feminine Mysteries</w:t>
      </w:r>
      <w:r w:rsidR="00962AB2">
        <w:rPr>
          <w:rFonts w:ascii="Cambria" w:hAnsi="Cambria"/>
        </w:rPr>
        <w:t xml:space="preserve">. If the ritual is successful—if his own magical focus is strong and the group effectively channels their collective power toward the stage—the high priest will draw down the spirit of Jehovah or the Holy Ghost in one of their various guises, and </w:t>
      </w:r>
      <w:r w:rsidR="009607D0">
        <w:rPr>
          <w:rFonts w:ascii="Cambria" w:hAnsi="Cambria"/>
        </w:rPr>
        <w:t xml:space="preserve">they will </w:t>
      </w:r>
      <w:r w:rsidR="00962AB2">
        <w:rPr>
          <w:rFonts w:ascii="Cambria" w:hAnsi="Cambria"/>
        </w:rPr>
        <w:t xml:space="preserve">speak through </w:t>
      </w:r>
      <w:r w:rsidR="00F21F11">
        <w:rPr>
          <w:rFonts w:ascii="Cambria" w:hAnsi="Cambria"/>
        </w:rPr>
        <w:t>the high priest’s</w:t>
      </w:r>
      <w:r w:rsidR="00962AB2">
        <w:rPr>
          <w:rFonts w:ascii="Cambria" w:hAnsi="Cambria"/>
        </w:rPr>
        <w:t xml:space="preserve"> mouth, conveying special direct messages</w:t>
      </w:r>
      <w:r w:rsidR="009607D0">
        <w:rPr>
          <w:rFonts w:ascii="Cambria" w:hAnsi="Cambria"/>
        </w:rPr>
        <w:t xml:space="preserve"> to </w:t>
      </w:r>
      <w:r w:rsidR="00297BAD">
        <w:rPr>
          <w:rFonts w:ascii="Cambria" w:hAnsi="Cambria"/>
        </w:rPr>
        <w:t>either the whole group or to individual members</w:t>
      </w:r>
      <w:r w:rsidR="00962AB2">
        <w:rPr>
          <w:rFonts w:ascii="Cambria" w:hAnsi="Cambria"/>
        </w:rPr>
        <w:t>. When this rite is concluded, initiates and dedicants ground excess energy with hugs and often by sharing a special small meal</w:t>
      </w:r>
      <w:r w:rsidR="00297BAD">
        <w:rPr>
          <w:rFonts w:ascii="Cambria" w:hAnsi="Cambria"/>
        </w:rPr>
        <w:t xml:space="preserve"> of cakes and wine</w:t>
      </w:r>
      <w:r w:rsidR="00962AB2">
        <w:rPr>
          <w:rFonts w:ascii="Cambria" w:hAnsi="Cambria"/>
        </w:rPr>
        <w:t>. The circle is opened again by the musicians, and the summoners open the doors and guide participants out.</w:t>
      </w:r>
    </w:p>
    <w:p w:rsidR="00844D91" w:rsidRDefault="000F0E82" w:rsidP="00A956EF">
      <w:pPr>
        <w:spacing w:line="480" w:lineRule="auto"/>
        <w:ind w:firstLine="720"/>
        <w:rPr>
          <w:rFonts w:ascii="Cambria" w:hAnsi="Cambria"/>
        </w:rPr>
      </w:pPr>
      <w:r>
        <w:rPr>
          <w:rFonts w:ascii="Cambria" w:hAnsi="Cambria"/>
        </w:rPr>
        <w:t xml:space="preserve">Setting down one perspective and picking up another </w:t>
      </w:r>
      <w:r w:rsidR="00A75D3E">
        <w:rPr>
          <w:rFonts w:ascii="Cambria" w:hAnsi="Cambria"/>
        </w:rPr>
        <w:t xml:space="preserve">in this way </w:t>
      </w:r>
      <w:r>
        <w:rPr>
          <w:rFonts w:ascii="Cambria" w:hAnsi="Cambria"/>
        </w:rPr>
        <w:t xml:space="preserve">is at best disorienting </w:t>
      </w:r>
      <w:r w:rsidR="00342778">
        <w:rPr>
          <w:rFonts w:ascii="Cambria" w:hAnsi="Cambria"/>
        </w:rPr>
        <w:t>and</w:t>
      </w:r>
      <w:r>
        <w:rPr>
          <w:rFonts w:ascii="Cambria" w:hAnsi="Cambria"/>
        </w:rPr>
        <w:t xml:space="preserve"> silly, and at worst a misrepresentative </w:t>
      </w:r>
      <w:r w:rsidR="009229E9">
        <w:rPr>
          <w:rFonts w:ascii="Cambria" w:hAnsi="Cambria"/>
        </w:rPr>
        <w:t xml:space="preserve">and even violent </w:t>
      </w:r>
      <w:r>
        <w:rPr>
          <w:rFonts w:ascii="Cambria" w:hAnsi="Cambria"/>
        </w:rPr>
        <w:t>act of erasure.</w:t>
      </w:r>
      <w:r w:rsidR="00AF7139">
        <w:rPr>
          <w:rFonts w:ascii="Cambria" w:hAnsi="Cambria"/>
        </w:rPr>
        <w:t xml:space="preserve"> </w:t>
      </w:r>
      <w:r w:rsidR="005A2AA0">
        <w:rPr>
          <w:rFonts w:ascii="Cambria" w:hAnsi="Cambria"/>
        </w:rPr>
        <w:t xml:space="preserve">As fun as </w:t>
      </w:r>
      <w:r w:rsidR="00F60BF3">
        <w:rPr>
          <w:rFonts w:ascii="Cambria" w:hAnsi="Cambria"/>
        </w:rPr>
        <w:t>my experiment might be privately</w:t>
      </w:r>
      <w:r w:rsidR="00B6629C">
        <w:rPr>
          <w:rFonts w:ascii="Cambria" w:hAnsi="Cambria"/>
        </w:rPr>
        <w:t>—and as much as I might personally think it’s useful to understand evangelical sermonizing as a ritual of trance possession akin to a Wiccan drawing down—</w:t>
      </w:r>
      <w:r w:rsidR="00F60BF3">
        <w:rPr>
          <w:rFonts w:ascii="Cambria" w:hAnsi="Cambria"/>
        </w:rPr>
        <w:t>I would never send such a write-up to an advisor, let alone include it in an academic publication or public presentation</w:t>
      </w:r>
      <w:r w:rsidR="00AA62DB">
        <w:rPr>
          <w:rFonts w:ascii="Cambria" w:hAnsi="Cambria"/>
        </w:rPr>
        <w:t xml:space="preserve"> and expect to be taken seriously.</w:t>
      </w:r>
      <w:r w:rsidR="00844D91">
        <w:rPr>
          <w:rFonts w:ascii="Cambria" w:hAnsi="Cambria"/>
        </w:rPr>
        <w:t xml:space="preserve"> I have, however, engaged in a variety of academic spaces—at conferences, in classrooms, and in published texts—</w:t>
      </w:r>
      <w:r w:rsidR="00157ACB">
        <w:rPr>
          <w:rFonts w:ascii="Cambria" w:hAnsi="Cambria"/>
        </w:rPr>
        <w:t>where just such a thing seems to occur regularly</w:t>
      </w:r>
      <w:r w:rsidR="00A73106">
        <w:rPr>
          <w:rFonts w:ascii="Cambria" w:hAnsi="Cambria"/>
        </w:rPr>
        <w:t xml:space="preserve">, when members of a normative group </w:t>
      </w:r>
      <w:r w:rsidR="006C07BD">
        <w:rPr>
          <w:rFonts w:ascii="Cambria" w:hAnsi="Cambria"/>
        </w:rPr>
        <w:t>discuss</w:t>
      </w:r>
      <w:r w:rsidR="00A73106">
        <w:rPr>
          <w:rFonts w:ascii="Cambria" w:hAnsi="Cambria"/>
        </w:rPr>
        <w:t xml:space="preserve"> members of a marginalized group</w:t>
      </w:r>
      <w:r w:rsidR="00C705B6">
        <w:rPr>
          <w:rFonts w:ascii="Cambria" w:hAnsi="Cambria"/>
        </w:rPr>
        <w:t xml:space="preserve"> while relying on </w:t>
      </w:r>
      <w:r w:rsidR="007A4BD3">
        <w:rPr>
          <w:rFonts w:ascii="Cambria" w:hAnsi="Cambria"/>
        </w:rPr>
        <w:t>normative</w:t>
      </w:r>
      <w:r w:rsidR="00C705B6">
        <w:rPr>
          <w:rFonts w:ascii="Cambria" w:hAnsi="Cambria"/>
        </w:rPr>
        <w:t xml:space="preserve"> </w:t>
      </w:r>
      <w:r w:rsidR="00C705B6">
        <w:rPr>
          <w:rFonts w:ascii="Cambria" w:hAnsi="Cambria"/>
        </w:rPr>
        <w:lastRenderedPageBreak/>
        <w:t xml:space="preserve">language and </w:t>
      </w:r>
      <w:r w:rsidR="007A4BD3">
        <w:rPr>
          <w:rFonts w:ascii="Cambria" w:hAnsi="Cambria"/>
        </w:rPr>
        <w:t>normative</w:t>
      </w:r>
      <w:r w:rsidR="00C705B6">
        <w:rPr>
          <w:rFonts w:ascii="Cambria" w:hAnsi="Cambria"/>
        </w:rPr>
        <w:t xml:space="preserve"> assumptions.</w:t>
      </w:r>
      <w:r w:rsidR="00987E33">
        <w:rPr>
          <w:rFonts w:ascii="Cambria" w:hAnsi="Cambria"/>
        </w:rPr>
        <w:t xml:space="preserve"> We are suspicious of the capacity to be critical when addressing one sort of insider, but not another.</w:t>
      </w:r>
    </w:p>
    <w:p w:rsidR="00825EB5" w:rsidRDefault="009052E5" w:rsidP="002A6E1C">
      <w:pPr>
        <w:spacing w:line="480" w:lineRule="auto"/>
        <w:ind w:firstLine="720"/>
        <w:rPr>
          <w:rFonts w:ascii="Cambria" w:hAnsi="Cambria"/>
        </w:rPr>
      </w:pPr>
      <w:r>
        <w:rPr>
          <w:rFonts w:ascii="Cambria" w:hAnsi="Cambria"/>
        </w:rPr>
        <w:t xml:space="preserve">In the recent </w:t>
      </w:r>
      <w:r w:rsidRPr="0009417A">
        <w:rPr>
          <w:rFonts w:ascii="Cambria" w:hAnsi="Cambria"/>
          <w:i/>
          <w:iCs/>
        </w:rPr>
        <w:t>Saving History: How White Evangelicals Tour the Nation’s Capital and Redeem a Christian America</w:t>
      </w:r>
      <w:r>
        <w:rPr>
          <w:rFonts w:ascii="Cambria" w:hAnsi="Cambria"/>
        </w:rPr>
        <w:t>, Lauren Kirby conducts ethnographic research on a series of Christian bus tours of Washington, DC, arguing that in order to understand how white evangelical</w:t>
      </w:r>
      <w:r w:rsidR="005001FC">
        <w:rPr>
          <w:rFonts w:ascii="Cambria" w:hAnsi="Cambria"/>
        </w:rPr>
        <w:t>s</w:t>
      </w:r>
      <w:r>
        <w:rPr>
          <w:rFonts w:ascii="Cambria" w:hAnsi="Cambria"/>
        </w:rPr>
        <w:t xml:space="preserve"> engage politically we need to consider how they imagine and reimagine the past and their own place in that past. In the introduction, she tells us that she already understands the norms of her consultants because, in fact, she grew up in white evangelical churches.</w:t>
      </w:r>
      <w:r>
        <w:rPr>
          <w:rStyle w:val="FootnoteReference"/>
          <w:rFonts w:ascii="Cambria" w:hAnsi="Cambria"/>
        </w:rPr>
        <w:footnoteReference w:id="4"/>
      </w:r>
      <w:r>
        <w:rPr>
          <w:rFonts w:ascii="Cambria" w:hAnsi="Cambria"/>
        </w:rPr>
        <w:t xml:space="preserve"> Kerby’s insider status is unobtrusive for readers, and her project is engaging and persuasive, but as an outsider ethnographer of evangelical spaces it’s impossible not to envy her advantage. I also wonder if she was ever told by a mentor that she should avoid studying her own group because she would struggle to be critical, as I have been at every stage of my own career. The classic work by Randall Balmer, </w:t>
      </w:r>
      <w:r w:rsidRPr="00105911">
        <w:rPr>
          <w:rFonts w:ascii="Cambria" w:hAnsi="Cambria"/>
          <w:i/>
          <w:iCs/>
        </w:rPr>
        <w:t xml:space="preserve">Mine Eyes Have Seen the Glory: A Journey </w:t>
      </w:r>
      <w:r w:rsidR="003D49C1">
        <w:rPr>
          <w:rFonts w:ascii="Cambria" w:hAnsi="Cambria"/>
          <w:i/>
          <w:iCs/>
        </w:rPr>
        <w:t>i</w:t>
      </w:r>
      <w:r w:rsidRPr="00105911">
        <w:rPr>
          <w:rFonts w:ascii="Cambria" w:hAnsi="Cambria"/>
          <w:i/>
          <w:iCs/>
        </w:rPr>
        <w:t>nto the Evangelical Subculture in America</w:t>
      </w:r>
      <w:r>
        <w:rPr>
          <w:rFonts w:ascii="Cambria" w:hAnsi="Cambria"/>
        </w:rPr>
        <w:t xml:space="preserve">, raises similar questions. Balmer’s work is both ethnography and memoir, and he tells us quite a lot about his own wrestling with growing up fundamentalist. In one chapter about Christian summer camps, Balmer relates a prayerful campfire conversation amongst teens and counselors at Word of Life Island, an evangelical youth camp. An endnote, however, appears at the end of the chapter, in which Balmer tells us that this is actually a fictionalized account of his own youth “…based on personal experience and reminiscences from many summers at several </w:t>
      </w:r>
      <w:r>
        <w:rPr>
          <w:rFonts w:ascii="Cambria" w:hAnsi="Cambria"/>
        </w:rPr>
        <w:lastRenderedPageBreak/>
        <w:t>different Bible camps.”</w:t>
      </w:r>
      <w:r>
        <w:rPr>
          <w:rStyle w:val="FootnoteReference"/>
          <w:rFonts w:ascii="Cambria" w:hAnsi="Cambria"/>
        </w:rPr>
        <w:footnoteReference w:id="5"/>
      </w:r>
      <w:r>
        <w:rPr>
          <w:rFonts w:ascii="Cambria" w:hAnsi="Cambria"/>
        </w:rPr>
        <w:t xml:space="preserve"> Again, Balmer’s work is both engaging and useful, but it is also an example of how our particular cultural fishbowl makes allowances for some kinds of scholarly work—performed by some kinds of scholars—and not others. Those scholars from normative religious backgrounds are not consistently asked to set themselves aside in the way that scholars from other backgrounds are. </w:t>
      </w:r>
    </w:p>
    <w:p w:rsidR="00860F4E" w:rsidRDefault="009052E5" w:rsidP="002A6E1C">
      <w:pPr>
        <w:spacing w:line="480" w:lineRule="auto"/>
        <w:ind w:firstLine="720"/>
        <w:rPr>
          <w:rFonts w:ascii="Cambria" w:hAnsi="Cambria"/>
        </w:rPr>
      </w:pPr>
      <w:r>
        <w:rPr>
          <w:rFonts w:ascii="Cambria" w:hAnsi="Cambria"/>
        </w:rPr>
        <w:t xml:space="preserve">To be clear, I’m not arguing that we should </w:t>
      </w:r>
      <w:r w:rsidR="002E5847">
        <w:rPr>
          <w:rFonts w:ascii="Cambria" w:hAnsi="Cambria"/>
        </w:rPr>
        <w:t>automatically</w:t>
      </w:r>
      <w:r>
        <w:rPr>
          <w:rFonts w:ascii="Cambria" w:hAnsi="Cambria"/>
        </w:rPr>
        <w:t xml:space="preserve"> be suspicious of scholars investigating their own communities and wrestling with their own stories.</w:t>
      </w:r>
      <w:r w:rsidR="00AF6477">
        <w:rPr>
          <w:rFonts w:ascii="Cambria" w:hAnsi="Cambria"/>
        </w:rPr>
        <w:t xml:space="preserve"> </w:t>
      </w:r>
      <w:r w:rsidR="009502ED">
        <w:rPr>
          <w:rFonts w:ascii="Cambria" w:hAnsi="Cambria"/>
        </w:rPr>
        <w:t xml:space="preserve">To some degree, I think we all wrestle with ourselves through scholarship. </w:t>
      </w:r>
      <w:r w:rsidR="00CA4757">
        <w:rPr>
          <w:rFonts w:ascii="Cambria" w:hAnsi="Cambria"/>
        </w:rPr>
        <w:t xml:space="preserve">In fact, I think our sociocultural locations can be as much a boon as a hindrance, if we are </w:t>
      </w:r>
      <w:r w:rsidR="00EB2D4B">
        <w:rPr>
          <w:rFonts w:ascii="Cambria" w:hAnsi="Cambria"/>
        </w:rPr>
        <w:t xml:space="preserve">sufficiently </w:t>
      </w:r>
      <w:r w:rsidR="00CA4757">
        <w:rPr>
          <w:rFonts w:ascii="Cambria" w:hAnsi="Cambria"/>
        </w:rPr>
        <w:t>conscious of them and use them productively</w:t>
      </w:r>
      <w:r w:rsidR="00EB2D4B">
        <w:rPr>
          <w:rFonts w:ascii="Cambria" w:hAnsi="Cambria"/>
        </w:rPr>
        <w:t xml:space="preserve">, and are also transparent with </w:t>
      </w:r>
      <w:r w:rsidR="002262DD">
        <w:rPr>
          <w:rFonts w:ascii="Cambria" w:hAnsi="Cambria"/>
        </w:rPr>
        <w:t xml:space="preserve">both </w:t>
      </w:r>
      <w:r w:rsidR="00EB2D4B">
        <w:rPr>
          <w:rFonts w:ascii="Cambria" w:hAnsi="Cambria"/>
        </w:rPr>
        <w:t xml:space="preserve">our readers and </w:t>
      </w:r>
      <w:r w:rsidR="005001FC">
        <w:rPr>
          <w:rFonts w:ascii="Cambria" w:hAnsi="Cambria"/>
        </w:rPr>
        <w:t xml:space="preserve">our </w:t>
      </w:r>
      <w:r w:rsidR="00EB2D4B">
        <w:rPr>
          <w:rFonts w:ascii="Cambria" w:hAnsi="Cambria"/>
        </w:rPr>
        <w:t>consultants</w:t>
      </w:r>
      <w:r w:rsidR="00CA4757">
        <w:rPr>
          <w:rFonts w:ascii="Cambria" w:hAnsi="Cambria"/>
        </w:rPr>
        <w:t>. Kerby and Balmer both provide insights and have access to experiences that outsiders do not. They don’t need to transpose the language of their subjects in order to understand</w:t>
      </w:r>
      <w:r w:rsidR="005001FC">
        <w:rPr>
          <w:rFonts w:ascii="Cambria" w:hAnsi="Cambria"/>
        </w:rPr>
        <w:t xml:space="preserve"> them</w:t>
      </w:r>
      <w:r w:rsidR="00CA4757">
        <w:rPr>
          <w:rFonts w:ascii="Cambria" w:hAnsi="Cambria"/>
        </w:rPr>
        <w:t>, and then transpose again when it comes time to explain their findings to others.</w:t>
      </w:r>
      <w:r w:rsidR="00850880">
        <w:rPr>
          <w:rFonts w:ascii="Cambria" w:hAnsi="Cambria"/>
        </w:rPr>
        <w:t xml:space="preserve"> </w:t>
      </w:r>
      <w:r w:rsidR="00F9348E">
        <w:rPr>
          <w:rFonts w:ascii="Cambria" w:hAnsi="Cambria"/>
        </w:rPr>
        <w:t>What I am arguing is that</w:t>
      </w:r>
      <w:r w:rsidR="00361D12">
        <w:rPr>
          <w:rFonts w:ascii="Cambria" w:hAnsi="Cambria"/>
        </w:rPr>
        <w:t>, if we accept that it is acceptable for some insiders to remain insiders,</w:t>
      </w:r>
      <w:r w:rsidR="00F9348E">
        <w:rPr>
          <w:rFonts w:ascii="Cambria" w:hAnsi="Cambria"/>
        </w:rPr>
        <w:t xml:space="preserve"> these allowances should extend to scholars who occupy marginalized or otherwise non-normative positions—scholars for whom the Christian fishbowl is painfully apparent.</w:t>
      </w:r>
      <w:r w:rsidR="00075B44">
        <w:rPr>
          <w:rFonts w:ascii="Cambria" w:hAnsi="Cambria"/>
        </w:rPr>
        <w:t xml:space="preserve"> </w:t>
      </w:r>
      <w:r w:rsidR="001E1FF9">
        <w:rPr>
          <w:rFonts w:ascii="Cambria" w:hAnsi="Cambria"/>
        </w:rPr>
        <w:t>If we agree that critical scholarship is more difficult when one is an inside</w:t>
      </w:r>
      <w:r w:rsidR="00F010AC">
        <w:rPr>
          <w:rFonts w:ascii="Cambria" w:hAnsi="Cambria"/>
        </w:rPr>
        <w:t>r—</w:t>
      </w:r>
      <w:r w:rsidR="009A2D5B">
        <w:rPr>
          <w:rFonts w:ascii="Cambria" w:hAnsi="Cambria"/>
        </w:rPr>
        <w:t>the risk of becoming cheerleaders too great—</w:t>
      </w:r>
      <w:r w:rsidR="001E1FF9">
        <w:rPr>
          <w:rFonts w:ascii="Cambria" w:hAnsi="Cambria"/>
        </w:rPr>
        <w:t xml:space="preserve">then we also need to collectively examine where and why we </w:t>
      </w:r>
      <w:r w:rsidR="009A2D5B">
        <w:rPr>
          <w:rFonts w:ascii="Cambria" w:hAnsi="Cambria"/>
        </w:rPr>
        <w:t>continue to allow one variety of insider while discouraging others.</w:t>
      </w:r>
    </w:p>
    <w:p w:rsidR="00D0234C" w:rsidRDefault="00F9348E" w:rsidP="002A6E1C">
      <w:pPr>
        <w:spacing w:line="480" w:lineRule="auto"/>
        <w:ind w:firstLine="720"/>
        <w:rPr>
          <w:rFonts w:ascii="Cambria" w:hAnsi="Cambria"/>
        </w:rPr>
      </w:pPr>
      <w:r>
        <w:rPr>
          <w:rFonts w:ascii="Cambria" w:hAnsi="Cambria"/>
        </w:rPr>
        <w:t xml:space="preserve"> </w:t>
      </w:r>
      <w:r w:rsidR="00367A00">
        <w:rPr>
          <w:rFonts w:ascii="Cambria" w:hAnsi="Cambria"/>
        </w:rPr>
        <w:t xml:space="preserve">Coming into religious studies </w:t>
      </w:r>
      <w:r w:rsidR="00A82B85">
        <w:rPr>
          <w:rFonts w:ascii="Cambria" w:hAnsi="Cambria"/>
        </w:rPr>
        <w:t xml:space="preserve">with a non-normative religious background </w:t>
      </w:r>
      <w:r w:rsidR="00367A00">
        <w:rPr>
          <w:rFonts w:ascii="Cambria" w:hAnsi="Cambria"/>
        </w:rPr>
        <w:t>is a constant act of transposition</w:t>
      </w:r>
      <w:r w:rsidR="007E5877">
        <w:rPr>
          <w:rFonts w:ascii="Cambria" w:hAnsi="Cambria"/>
        </w:rPr>
        <w:t xml:space="preserve">, and </w:t>
      </w:r>
      <w:r w:rsidR="00FD2AA0">
        <w:rPr>
          <w:rFonts w:ascii="Cambria" w:hAnsi="Cambria"/>
        </w:rPr>
        <w:t>also often a scenario riddled with deep insecurity</w:t>
      </w:r>
      <w:r w:rsidR="00367A00">
        <w:rPr>
          <w:rFonts w:ascii="Cambria" w:hAnsi="Cambria"/>
        </w:rPr>
        <w:t>.</w:t>
      </w:r>
      <w:r w:rsidR="00FD2AA0">
        <w:rPr>
          <w:rFonts w:ascii="Cambria" w:hAnsi="Cambria"/>
        </w:rPr>
        <w:t xml:space="preserve"> </w:t>
      </w:r>
      <w:r w:rsidR="00F5666B">
        <w:rPr>
          <w:rFonts w:ascii="Cambria" w:hAnsi="Cambria"/>
        </w:rPr>
        <w:t xml:space="preserve">I find </w:t>
      </w:r>
      <w:r w:rsidR="00F5666B">
        <w:rPr>
          <w:rFonts w:ascii="Cambria" w:hAnsi="Cambria"/>
        </w:rPr>
        <w:lastRenderedPageBreak/>
        <w:t xml:space="preserve">that I have to justify my belonging, my research interests, and my perspectives in a way that </w:t>
      </w:r>
      <w:r w:rsidR="007252F0">
        <w:rPr>
          <w:rFonts w:ascii="Cambria" w:hAnsi="Cambria"/>
        </w:rPr>
        <w:t xml:space="preserve">my peers with Christian </w:t>
      </w:r>
      <w:r w:rsidR="00075B44">
        <w:rPr>
          <w:rFonts w:ascii="Cambria" w:hAnsi="Cambria"/>
        </w:rPr>
        <w:t>backgrounds</w:t>
      </w:r>
      <w:r w:rsidR="007252F0">
        <w:rPr>
          <w:rFonts w:ascii="Cambria" w:hAnsi="Cambria"/>
        </w:rPr>
        <w:t>—which includes former</w:t>
      </w:r>
      <w:r w:rsidR="00075B44">
        <w:rPr>
          <w:rFonts w:ascii="Cambria" w:hAnsi="Cambria"/>
        </w:rPr>
        <w:t xml:space="preserve"> Christians—do not. </w:t>
      </w:r>
      <w:r w:rsidR="009D6E10">
        <w:rPr>
          <w:rFonts w:ascii="Cambria" w:hAnsi="Cambria"/>
        </w:rPr>
        <w:t>These biases rooted in sociocultural location impact</w:t>
      </w:r>
      <w:r w:rsidR="006B4263">
        <w:rPr>
          <w:rFonts w:ascii="Cambria" w:hAnsi="Cambria"/>
        </w:rPr>
        <w:t xml:space="preserve"> our </w:t>
      </w:r>
      <w:r w:rsidR="00013C7B">
        <w:rPr>
          <w:rFonts w:ascii="Cambria" w:hAnsi="Cambria"/>
        </w:rPr>
        <w:t>research</w:t>
      </w:r>
      <w:r w:rsidR="006B4263">
        <w:rPr>
          <w:rFonts w:ascii="Cambria" w:hAnsi="Cambria"/>
        </w:rPr>
        <w:t xml:space="preserve">, but </w:t>
      </w:r>
      <w:r w:rsidR="009D6E10">
        <w:rPr>
          <w:rFonts w:ascii="Cambria" w:hAnsi="Cambria"/>
        </w:rPr>
        <w:t>they</w:t>
      </w:r>
      <w:r w:rsidR="006B4263">
        <w:rPr>
          <w:rFonts w:ascii="Cambria" w:hAnsi="Cambria"/>
        </w:rPr>
        <w:t xml:space="preserve"> also impact our teaching. </w:t>
      </w:r>
      <w:r w:rsidR="009D6E10">
        <w:rPr>
          <w:rFonts w:ascii="Cambria" w:hAnsi="Cambria"/>
        </w:rPr>
        <w:t xml:space="preserve">Increasingly, students </w:t>
      </w:r>
      <w:r w:rsidR="009D6E10" w:rsidRPr="009D6E10">
        <w:rPr>
          <w:rFonts w:ascii="Cambria" w:hAnsi="Cambria"/>
          <w:i/>
          <w:iCs/>
        </w:rPr>
        <w:t>don’t</w:t>
      </w:r>
      <w:r w:rsidR="009D6E10">
        <w:rPr>
          <w:rFonts w:ascii="Cambria" w:hAnsi="Cambria"/>
        </w:rPr>
        <w:t xml:space="preserve"> come from Christian backgrounds and don’t possess the knowledge and vocabulary that we assume. </w:t>
      </w:r>
      <w:r w:rsidR="00013C7B">
        <w:rPr>
          <w:rFonts w:ascii="Cambria" w:hAnsi="Cambria"/>
        </w:rPr>
        <w:t xml:space="preserve">It </w:t>
      </w:r>
      <w:r w:rsidR="001D1BDF">
        <w:rPr>
          <w:rFonts w:ascii="Cambria" w:hAnsi="Cambria"/>
        </w:rPr>
        <w:t xml:space="preserve">also </w:t>
      </w:r>
      <w:r w:rsidR="00013C7B">
        <w:rPr>
          <w:rFonts w:ascii="Cambria" w:hAnsi="Cambria"/>
        </w:rPr>
        <w:t xml:space="preserve">impacts the courses our departments offer, </w:t>
      </w:r>
      <w:r w:rsidR="001D1BDF">
        <w:rPr>
          <w:rFonts w:ascii="Cambria" w:hAnsi="Cambria"/>
        </w:rPr>
        <w:t xml:space="preserve">what we decide is important to cover on our syllabi, </w:t>
      </w:r>
      <w:r w:rsidR="00013C7B">
        <w:rPr>
          <w:rFonts w:ascii="Cambria" w:hAnsi="Cambria"/>
        </w:rPr>
        <w:t xml:space="preserve">and the sort of advice that circulates amongst graduate students seeking to enter the job market. </w:t>
      </w:r>
      <w:r w:rsidR="009D6E10">
        <w:rPr>
          <w:rFonts w:ascii="Cambria" w:hAnsi="Cambria"/>
        </w:rPr>
        <w:t xml:space="preserve">When marketability is our primary concern, we are already committing to elevating those scholars and subjects that are normative. </w:t>
      </w:r>
      <w:r w:rsidR="001B633D">
        <w:rPr>
          <w:rFonts w:ascii="Cambria" w:hAnsi="Cambria"/>
        </w:rPr>
        <w:t xml:space="preserve">This is precisely how I found myself, </w:t>
      </w:r>
      <w:r w:rsidR="00CA35B1">
        <w:rPr>
          <w:rFonts w:ascii="Cambria" w:hAnsi="Cambria"/>
        </w:rPr>
        <w:t>while applying to PhD programs</w:t>
      </w:r>
      <w:r w:rsidR="001B633D">
        <w:rPr>
          <w:rFonts w:ascii="Cambria" w:hAnsi="Cambria"/>
        </w:rPr>
        <w:t xml:space="preserve">, </w:t>
      </w:r>
      <w:r w:rsidR="00CA35B1">
        <w:rPr>
          <w:rFonts w:ascii="Cambria" w:hAnsi="Cambria"/>
        </w:rPr>
        <w:t xml:space="preserve">evaluating my fit in a potential program with a potential advisor in that </w:t>
      </w:r>
      <w:r w:rsidR="00F010AC">
        <w:rPr>
          <w:rFonts w:ascii="Cambria" w:hAnsi="Cambria"/>
        </w:rPr>
        <w:t xml:space="preserve">very </w:t>
      </w:r>
      <w:r w:rsidR="00CA35B1">
        <w:rPr>
          <w:rFonts w:ascii="Cambria" w:hAnsi="Cambria"/>
        </w:rPr>
        <w:t xml:space="preserve">department who told me directly, “Just look at all these white men with divinity degrees. They only have room for so much diversity.” </w:t>
      </w:r>
      <w:r w:rsidR="00243051">
        <w:rPr>
          <w:rFonts w:ascii="Cambria" w:hAnsi="Cambria"/>
        </w:rPr>
        <w:t xml:space="preserve">This wasn’t a divinity program, I should add, but a well-regarded religious studies program that purports to be engaging in the critical study of religion. </w:t>
      </w:r>
      <w:r w:rsidR="00386232">
        <w:rPr>
          <w:rFonts w:ascii="Cambria" w:hAnsi="Cambria"/>
        </w:rPr>
        <w:t>It may be impossible to grow up in the United States without some influx of Protestantism, but those of us from non-Christian backgrounds—and especially non-monotheistic</w:t>
      </w:r>
      <w:r w:rsidR="00D0234C">
        <w:rPr>
          <w:rFonts w:ascii="Cambria" w:hAnsi="Cambria"/>
        </w:rPr>
        <w:t xml:space="preserve"> </w:t>
      </w:r>
      <w:r w:rsidR="00386232">
        <w:rPr>
          <w:rFonts w:ascii="Cambria" w:hAnsi="Cambria"/>
        </w:rPr>
        <w:t>backgrounds</w:t>
      </w:r>
      <w:r w:rsidR="00793FED">
        <w:rPr>
          <w:rFonts w:ascii="Cambria" w:hAnsi="Cambria"/>
        </w:rPr>
        <w:t>, and especially if we are non-male, non-white, non-straight, non-wealthy</w:t>
      </w:r>
      <w:r w:rsidR="00386232">
        <w:rPr>
          <w:rFonts w:ascii="Cambria" w:hAnsi="Cambria"/>
        </w:rPr>
        <w:t>—</w:t>
      </w:r>
      <w:r w:rsidR="00916064">
        <w:rPr>
          <w:rFonts w:ascii="Cambria" w:hAnsi="Cambria"/>
        </w:rPr>
        <w:t>at times find ourselves at a loss in conversation with our peers, our mentors, and our own students. There is a rift in our vocabularies that makes nuance difficult</w:t>
      </w:r>
      <w:r w:rsidR="00EE1ABD">
        <w:rPr>
          <w:rFonts w:ascii="Cambria" w:hAnsi="Cambria"/>
        </w:rPr>
        <w:t xml:space="preserve"> and allows too much room for assumption</w:t>
      </w:r>
      <w:r w:rsidR="003B4005">
        <w:rPr>
          <w:rFonts w:ascii="Cambria" w:hAnsi="Cambria"/>
        </w:rPr>
        <w:t>. When Christian language and the language of critical scholarship overlap</w:t>
      </w:r>
      <w:r w:rsidR="00A82B85">
        <w:rPr>
          <w:rFonts w:ascii="Cambria" w:hAnsi="Cambria"/>
        </w:rPr>
        <w:t>, we may fail to see clearly where we can reasonably step outside of our sociocultural location</w:t>
      </w:r>
      <w:r w:rsidR="002A6E1C">
        <w:rPr>
          <w:rFonts w:ascii="Cambria" w:hAnsi="Cambria"/>
        </w:rPr>
        <w:t>s</w:t>
      </w:r>
      <w:r w:rsidR="00A82B85">
        <w:rPr>
          <w:rFonts w:ascii="Cambria" w:hAnsi="Cambria"/>
        </w:rPr>
        <w:t>, and where we only think we have</w:t>
      </w:r>
      <w:r w:rsidR="00441625">
        <w:rPr>
          <w:rFonts w:ascii="Cambria" w:hAnsi="Cambria"/>
        </w:rPr>
        <w:t xml:space="preserve"> because we’ve lost sight of </w:t>
      </w:r>
      <w:r w:rsidR="00693837">
        <w:rPr>
          <w:rFonts w:ascii="Cambria" w:hAnsi="Cambria"/>
        </w:rPr>
        <w:t>the glass that surrounds us</w:t>
      </w:r>
      <w:r w:rsidR="00A82B85">
        <w:rPr>
          <w:rFonts w:ascii="Cambria" w:hAnsi="Cambria"/>
        </w:rPr>
        <w:t>.</w:t>
      </w:r>
    </w:p>
    <w:p w:rsidR="0009417A" w:rsidRPr="00C839FA" w:rsidRDefault="0009417A">
      <w:pPr>
        <w:rPr>
          <w:rFonts w:ascii="Cambria" w:hAnsi="Cambria"/>
        </w:rPr>
      </w:pPr>
    </w:p>
    <w:sectPr w:rsidR="0009417A" w:rsidRPr="00C839FA">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75A09" w:rsidRDefault="00D75A09" w:rsidP="00317C05">
      <w:r>
        <w:separator/>
      </w:r>
    </w:p>
  </w:endnote>
  <w:endnote w:type="continuationSeparator" w:id="0">
    <w:p w:rsidR="00D75A09" w:rsidRDefault="00D75A09" w:rsidP="00317C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31831101"/>
      <w:docPartObj>
        <w:docPartGallery w:val="Page Numbers (Bottom of Page)"/>
        <w:docPartUnique/>
      </w:docPartObj>
    </w:sdtPr>
    <w:sdtContent>
      <w:p w:rsidR="0097069C" w:rsidRDefault="0097069C" w:rsidP="00E029C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97069C" w:rsidRDefault="0097069C" w:rsidP="0097069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3038418"/>
      <w:docPartObj>
        <w:docPartGallery w:val="Page Numbers (Bottom of Page)"/>
        <w:docPartUnique/>
      </w:docPartObj>
    </w:sdtPr>
    <w:sdtContent>
      <w:p w:rsidR="0097069C" w:rsidRDefault="0097069C" w:rsidP="00E029C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97069C" w:rsidRDefault="0097069C" w:rsidP="0097069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75A09" w:rsidRDefault="00D75A09" w:rsidP="00317C05">
      <w:r>
        <w:separator/>
      </w:r>
    </w:p>
  </w:footnote>
  <w:footnote w:type="continuationSeparator" w:id="0">
    <w:p w:rsidR="00D75A09" w:rsidRDefault="00D75A09" w:rsidP="00317C05">
      <w:r>
        <w:continuationSeparator/>
      </w:r>
    </w:p>
  </w:footnote>
  <w:footnote w:id="1">
    <w:p w:rsidR="00317C05" w:rsidRPr="00317C05" w:rsidRDefault="00317C05">
      <w:pPr>
        <w:pStyle w:val="FootnoteText"/>
        <w:rPr>
          <w:rFonts w:ascii="Cambria" w:hAnsi="Cambria"/>
        </w:rPr>
      </w:pPr>
      <w:r>
        <w:rPr>
          <w:rStyle w:val="FootnoteReference"/>
        </w:rPr>
        <w:footnoteRef/>
      </w:r>
      <w:r>
        <w:t xml:space="preserve"> </w:t>
      </w:r>
      <w:r>
        <w:rPr>
          <w:rFonts w:ascii="Cambria" w:hAnsi="Cambria"/>
        </w:rPr>
        <w:t xml:space="preserve">Susan Friend Harding, </w:t>
      </w:r>
      <w:r w:rsidRPr="009778A2">
        <w:rPr>
          <w:rFonts w:ascii="Cambria" w:hAnsi="Cambria"/>
          <w:i/>
          <w:iCs/>
        </w:rPr>
        <w:t>The Book of Ferry Falwell: Fundamentalist Language and Politics</w:t>
      </w:r>
      <w:r>
        <w:rPr>
          <w:rFonts w:ascii="Cambria" w:hAnsi="Cambria"/>
        </w:rPr>
        <w:t xml:space="preserve"> (Princeton: Princeton University Press, 2000), 33-34</w:t>
      </w:r>
      <w:r w:rsidR="00C4121E">
        <w:rPr>
          <w:rFonts w:ascii="Cambria" w:hAnsi="Cambria"/>
        </w:rPr>
        <w:t>, 58.</w:t>
      </w:r>
    </w:p>
  </w:footnote>
  <w:footnote w:id="2">
    <w:p w:rsidR="009D566F" w:rsidRPr="009D566F" w:rsidRDefault="009D566F">
      <w:pPr>
        <w:pStyle w:val="FootnoteText"/>
        <w:rPr>
          <w:rFonts w:ascii="Cambria" w:hAnsi="Cambria"/>
        </w:rPr>
      </w:pPr>
      <w:r>
        <w:rPr>
          <w:rStyle w:val="FootnoteReference"/>
        </w:rPr>
        <w:footnoteRef/>
      </w:r>
      <w:r>
        <w:t xml:space="preserve"> </w:t>
      </w:r>
      <w:r>
        <w:rPr>
          <w:rFonts w:ascii="Cambria" w:hAnsi="Cambria"/>
        </w:rPr>
        <w:t xml:space="preserve">Toni Morrison, </w:t>
      </w:r>
      <w:r w:rsidRPr="002E0359">
        <w:rPr>
          <w:rFonts w:ascii="Cambria" w:hAnsi="Cambria"/>
          <w:i/>
          <w:iCs/>
        </w:rPr>
        <w:t>Playing in the Dark: Whiteness and the Literary Imagination</w:t>
      </w:r>
      <w:r>
        <w:rPr>
          <w:rFonts w:ascii="Cambria" w:hAnsi="Cambria"/>
          <w:i/>
          <w:iCs/>
        </w:rPr>
        <w:t xml:space="preserve"> </w:t>
      </w:r>
      <w:r>
        <w:rPr>
          <w:rFonts w:ascii="Cambria" w:hAnsi="Cambria"/>
        </w:rPr>
        <w:t>(</w:t>
      </w:r>
      <w:r w:rsidR="00F60B45">
        <w:rPr>
          <w:rFonts w:ascii="Cambria" w:hAnsi="Cambria"/>
        </w:rPr>
        <w:t>Cambridge: Harvard University Press, 1992</w:t>
      </w:r>
      <w:r>
        <w:rPr>
          <w:rFonts w:ascii="Cambria" w:hAnsi="Cambria"/>
        </w:rPr>
        <w:t>), 1</w:t>
      </w:r>
      <w:r w:rsidR="00F60B45">
        <w:rPr>
          <w:rFonts w:ascii="Cambria" w:hAnsi="Cambria"/>
        </w:rPr>
        <w:t>7</w:t>
      </w:r>
      <w:r>
        <w:rPr>
          <w:rFonts w:ascii="Cambria" w:hAnsi="Cambria"/>
        </w:rPr>
        <w:t>.</w:t>
      </w:r>
    </w:p>
  </w:footnote>
  <w:footnote w:id="3">
    <w:p w:rsidR="006335D4" w:rsidRPr="006335D4" w:rsidRDefault="006335D4">
      <w:pPr>
        <w:pStyle w:val="FootnoteText"/>
        <w:rPr>
          <w:rFonts w:ascii="Cambria" w:hAnsi="Cambria"/>
        </w:rPr>
      </w:pPr>
      <w:r>
        <w:rPr>
          <w:rStyle w:val="FootnoteReference"/>
        </w:rPr>
        <w:footnoteRef/>
      </w:r>
      <w:r>
        <w:t xml:space="preserve"> </w:t>
      </w:r>
      <w:r>
        <w:rPr>
          <w:rFonts w:ascii="Cambria" w:hAnsi="Cambria"/>
        </w:rPr>
        <w:t xml:space="preserve">Bruce Lincoln, </w:t>
      </w:r>
      <w:r w:rsidRPr="00641540">
        <w:rPr>
          <w:rFonts w:ascii="Cambria" w:hAnsi="Cambria"/>
          <w:i/>
          <w:iCs/>
        </w:rPr>
        <w:t>Gods and Demons, Priests and Scholars: Critical Explorations in the History of Religions</w:t>
      </w:r>
      <w:r>
        <w:rPr>
          <w:rFonts w:ascii="Cambria" w:hAnsi="Cambria"/>
        </w:rPr>
        <w:t xml:space="preserve"> (Chicago: The University of Chicago Press, 2012), 3.</w:t>
      </w:r>
    </w:p>
  </w:footnote>
  <w:footnote w:id="4">
    <w:p w:rsidR="009052E5" w:rsidRPr="00AC7A52" w:rsidRDefault="009052E5" w:rsidP="009052E5">
      <w:pPr>
        <w:pStyle w:val="FootnoteText"/>
        <w:rPr>
          <w:rFonts w:ascii="Cambria" w:hAnsi="Cambria"/>
        </w:rPr>
      </w:pPr>
      <w:r>
        <w:rPr>
          <w:rStyle w:val="FootnoteReference"/>
        </w:rPr>
        <w:footnoteRef/>
      </w:r>
      <w:r>
        <w:t xml:space="preserve"> </w:t>
      </w:r>
      <w:r>
        <w:rPr>
          <w:rFonts w:ascii="Cambria" w:hAnsi="Cambria"/>
        </w:rPr>
        <w:t xml:space="preserve">Lauren R. Kerby, </w:t>
      </w:r>
      <w:r w:rsidRPr="00470C80">
        <w:rPr>
          <w:rFonts w:ascii="Cambria" w:hAnsi="Cambria"/>
          <w:i/>
          <w:iCs/>
        </w:rPr>
        <w:t>Saving History: How White Evangelicals Tour the Nation’s Capital and Redeem a Christian America</w:t>
      </w:r>
      <w:r>
        <w:rPr>
          <w:rFonts w:ascii="Cambria" w:hAnsi="Cambria"/>
        </w:rPr>
        <w:t xml:space="preserve"> (Chapel Hill: The University of North Carolina Press, 2020), 7.</w:t>
      </w:r>
    </w:p>
  </w:footnote>
  <w:footnote w:id="5">
    <w:p w:rsidR="009052E5" w:rsidRPr="00931DA3" w:rsidRDefault="009052E5" w:rsidP="009052E5">
      <w:pPr>
        <w:pStyle w:val="FootnoteText"/>
        <w:rPr>
          <w:rFonts w:ascii="Cambria" w:hAnsi="Cambria"/>
        </w:rPr>
      </w:pPr>
      <w:r>
        <w:rPr>
          <w:rStyle w:val="FootnoteReference"/>
        </w:rPr>
        <w:footnoteRef/>
      </w:r>
      <w:r>
        <w:t xml:space="preserve"> </w:t>
      </w:r>
      <w:r>
        <w:rPr>
          <w:rFonts w:ascii="Cambria" w:hAnsi="Cambria"/>
        </w:rPr>
        <w:t xml:space="preserve">Randall Balmer, </w:t>
      </w:r>
      <w:r w:rsidRPr="00E66E65">
        <w:rPr>
          <w:rFonts w:ascii="Cambria" w:hAnsi="Cambria"/>
          <w:i/>
          <w:iCs/>
        </w:rPr>
        <w:t xml:space="preserve">Mine Eyes Have Seen the Glory: A Journey </w:t>
      </w:r>
      <w:r w:rsidR="00774AA6">
        <w:rPr>
          <w:rFonts w:ascii="Cambria" w:hAnsi="Cambria"/>
          <w:i/>
          <w:iCs/>
        </w:rPr>
        <w:t>i</w:t>
      </w:r>
      <w:r w:rsidRPr="00E66E65">
        <w:rPr>
          <w:rFonts w:ascii="Cambria" w:hAnsi="Cambria"/>
          <w:i/>
          <w:iCs/>
        </w:rPr>
        <w:t>nto the Evangelical Subculture in America</w:t>
      </w:r>
      <w:r>
        <w:rPr>
          <w:rFonts w:ascii="Cambria" w:hAnsi="Cambria"/>
        </w:rPr>
        <w:t>, 3</w:t>
      </w:r>
      <w:r w:rsidRPr="00B96AA2">
        <w:rPr>
          <w:rFonts w:ascii="Cambria" w:hAnsi="Cambria"/>
          <w:vertAlign w:val="superscript"/>
        </w:rPr>
        <w:t>rd</w:t>
      </w:r>
      <w:r>
        <w:rPr>
          <w:rFonts w:ascii="Cambria" w:hAnsi="Cambria"/>
        </w:rPr>
        <w:t xml:space="preserve"> ed. (New York: Oxford University Press, 2000), 108.</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019"/>
    <w:rsid w:val="0001284E"/>
    <w:rsid w:val="00013C7B"/>
    <w:rsid w:val="000176C0"/>
    <w:rsid w:val="00022729"/>
    <w:rsid w:val="00050C49"/>
    <w:rsid w:val="00053C6F"/>
    <w:rsid w:val="00056E59"/>
    <w:rsid w:val="00063A82"/>
    <w:rsid w:val="00075B44"/>
    <w:rsid w:val="00092BEA"/>
    <w:rsid w:val="0009417A"/>
    <w:rsid w:val="000C07B0"/>
    <w:rsid w:val="000F0E82"/>
    <w:rsid w:val="00102BA0"/>
    <w:rsid w:val="00103ECD"/>
    <w:rsid w:val="00105911"/>
    <w:rsid w:val="00157ACB"/>
    <w:rsid w:val="00165A4D"/>
    <w:rsid w:val="00170949"/>
    <w:rsid w:val="001A05AD"/>
    <w:rsid w:val="001A3A35"/>
    <w:rsid w:val="001B633D"/>
    <w:rsid w:val="001C3957"/>
    <w:rsid w:val="001C4CB5"/>
    <w:rsid w:val="001C79B0"/>
    <w:rsid w:val="001D0CEC"/>
    <w:rsid w:val="001D1BDF"/>
    <w:rsid w:val="001E1FF9"/>
    <w:rsid w:val="001E4CE2"/>
    <w:rsid w:val="002262DD"/>
    <w:rsid w:val="0023167B"/>
    <w:rsid w:val="00236141"/>
    <w:rsid w:val="00243051"/>
    <w:rsid w:val="0027298F"/>
    <w:rsid w:val="00273A08"/>
    <w:rsid w:val="00281AD2"/>
    <w:rsid w:val="00282729"/>
    <w:rsid w:val="002925F7"/>
    <w:rsid w:val="00297446"/>
    <w:rsid w:val="00297BAD"/>
    <w:rsid w:val="002A6E1C"/>
    <w:rsid w:val="002C1A0B"/>
    <w:rsid w:val="002C6586"/>
    <w:rsid w:val="002C78D3"/>
    <w:rsid w:val="002D0433"/>
    <w:rsid w:val="002E0359"/>
    <w:rsid w:val="002E5847"/>
    <w:rsid w:val="002F7990"/>
    <w:rsid w:val="00303156"/>
    <w:rsid w:val="00317C05"/>
    <w:rsid w:val="00331C4E"/>
    <w:rsid w:val="00342778"/>
    <w:rsid w:val="00361D12"/>
    <w:rsid w:val="00367A00"/>
    <w:rsid w:val="00370E88"/>
    <w:rsid w:val="00374856"/>
    <w:rsid w:val="00386232"/>
    <w:rsid w:val="003B4005"/>
    <w:rsid w:val="003D49C1"/>
    <w:rsid w:val="00401C5D"/>
    <w:rsid w:val="00404643"/>
    <w:rsid w:val="0041164B"/>
    <w:rsid w:val="004221FD"/>
    <w:rsid w:val="0044025F"/>
    <w:rsid w:val="00441625"/>
    <w:rsid w:val="00443F7B"/>
    <w:rsid w:val="00467C8C"/>
    <w:rsid w:val="00467CFF"/>
    <w:rsid w:val="004706CC"/>
    <w:rsid w:val="00470C80"/>
    <w:rsid w:val="004B716A"/>
    <w:rsid w:val="004B7B56"/>
    <w:rsid w:val="004C6E14"/>
    <w:rsid w:val="004D392D"/>
    <w:rsid w:val="004E0BFD"/>
    <w:rsid w:val="005001FC"/>
    <w:rsid w:val="005012ED"/>
    <w:rsid w:val="00517534"/>
    <w:rsid w:val="00522902"/>
    <w:rsid w:val="00525AC6"/>
    <w:rsid w:val="00533824"/>
    <w:rsid w:val="00564019"/>
    <w:rsid w:val="005A0701"/>
    <w:rsid w:val="005A2AA0"/>
    <w:rsid w:val="005A7CDA"/>
    <w:rsid w:val="005C1B67"/>
    <w:rsid w:val="005D6CE7"/>
    <w:rsid w:val="005E7EA9"/>
    <w:rsid w:val="006110CD"/>
    <w:rsid w:val="0062278A"/>
    <w:rsid w:val="006335D4"/>
    <w:rsid w:val="00636F67"/>
    <w:rsid w:val="00641540"/>
    <w:rsid w:val="00693837"/>
    <w:rsid w:val="006A4E4A"/>
    <w:rsid w:val="006B4263"/>
    <w:rsid w:val="006C07BD"/>
    <w:rsid w:val="006C1732"/>
    <w:rsid w:val="006D3981"/>
    <w:rsid w:val="006D73B8"/>
    <w:rsid w:val="006E7138"/>
    <w:rsid w:val="006F7AC1"/>
    <w:rsid w:val="007169EA"/>
    <w:rsid w:val="00717947"/>
    <w:rsid w:val="00720A25"/>
    <w:rsid w:val="007252F0"/>
    <w:rsid w:val="00733709"/>
    <w:rsid w:val="0074141D"/>
    <w:rsid w:val="00771107"/>
    <w:rsid w:val="00771240"/>
    <w:rsid w:val="00774AA6"/>
    <w:rsid w:val="00793FED"/>
    <w:rsid w:val="007A4BD3"/>
    <w:rsid w:val="007A5D73"/>
    <w:rsid w:val="007B0D30"/>
    <w:rsid w:val="007B34D1"/>
    <w:rsid w:val="007B69FC"/>
    <w:rsid w:val="007C101E"/>
    <w:rsid w:val="007C195E"/>
    <w:rsid w:val="007D141B"/>
    <w:rsid w:val="007E5877"/>
    <w:rsid w:val="007E63B1"/>
    <w:rsid w:val="00805847"/>
    <w:rsid w:val="00825EB5"/>
    <w:rsid w:val="008348B4"/>
    <w:rsid w:val="0083665A"/>
    <w:rsid w:val="00844D91"/>
    <w:rsid w:val="00845BD8"/>
    <w:rsid w:val="00850880"/>
    <w:rsid w:val="00860F4E"/>
    <w:rsid w:val="0087447A"/>
    <w:rsid w:val="00875678"/>
    <w:rsid w:val="008877EC"/>
    <w:rsid w:val="008B37CC"/>
    <w:rsid w:val="008F11BB"/>
    <w:rsid w:val="009052E5"/>
    <w:rsid w:val="009153A1"/>
    <w:rsid w:val="00916064"/>
    <w:rsid w:val="009229E9"/>
    <w:rsid w:val="00931DA3"/>
    <w:rsid w:val="009468C7"/>
    <w:rsid w:val="009502ED"/>
    <w:rsid w:val="00953187"/>
    <w:rsid w:val="009607D0"/>
    <w:rsid w:val="00962AB2"/>
    <w:rsid w:val="0097069C"/>
    <w:rsid w:val="009778A2"/>
    <w:rsid w:val="00984B86"/>
    <w:rsid w:val="00987E33"/>
    <w:rsid w:val="009904C5"/>
    <w:rsid w:val="009A2D5B"/>
    <w:rsid w:val="009B75C6"/>
    <w:rsid w:val="009C7EC7"/>
    <w:rsid w:val="009D1DE1"/>
    <w:rsid w:val="009D566F"/>
    <w:rsid w:val="009D6E10"/>
    <w:rsid w:val="00A27F55"/>
    <w:rsid w:val="00A40D85"/>
    <w:rsid w:val="00A4793A"/>
    <w:rsid w:val="00A544A2"/>
    <w:rsid w:val="00A63DCE"/>
    <w:rsid w:val="00A67883"/>
    <w:rsid w:val="00A73106"/>
    <w:rsid w:val="00A75D3E"/>
    <w:rsid w:val="00A82B85"/>
    <w:rsid w:val="00A848E1"/>
    <w:rsid w:val="00A956EF"/>
    <w:rsid w:val="00AA62DB"/>
    <w:rsid w:val="00AB2956"/>
    <w:rsid w:val="00AB7008"/>
    <w:rsid w:val="00AC2461"/>
    <w:rsid w:val="00AC7A52"/>
    <w:rsid w:val="00AF6477"/>
    <w:rsid w:val="00AF7139"/>
    <w:rsid w:val="00B02B94"/>
    <w:rsid w:val="00B3283F"/>
    <w:rsid w:val="00B44DA3"/>
    <w:rsid w:val="00B544B5"/>
    <w:rsid w:val="00B627BD"/>
    <w:rsid w:val="00B6629C"/>
    <w:rsid w:val="00B85A29"/>
    <w:rsid w:val="00B90169"/>
    <w:rsid w:val="00B96AA2"/>
    <w:rsid w:val="00B97AD5"/>
    <w:rsid w:val="00BA66C5"/>
    <w:rsid w:val="00BB7A2A"/>
    <w:rsid w:val="00BD1DC1"/>
    <w:rsid w:val="00BD7A6C"/>
    <w:rsid w:val="00BF0A1A"/>
    <w:rsid w:val="00C24736"/>
    <w:rsid w:val="00C34C50"/>
    <w:rsid w:val="00C357AA"/>
    <w:rsid w:val="00C4121E"/>
    <w:rsid w:val="00C450C9"/>
    <w:rsid w:val="00C664CA"/>
    <w:rsid w:val="00C705B6"/>
    <w:rsid w:val="00C73C3A"/>
    <w:rsid w:val="00C839FA"/>
    <w:rsid w:val="00CA35B1"/>
    <w:rsid w:val="00CA4757"/>
    <w:rsid w:val="00CC2318"/>
    <w:rsid w:val="00CD248C"/>
    <w:rsid w:val="00D0234C"/>
    <w:rsid w:val="00D13A3C"/>
    <w:rsid w:val="00D354E1"/>
    <w:rsid w:val="00D42436"/>
    <w:rsid w:val="00D44FB9"/>
    <w:rsid w:val="00D75A09"/>
    <w:rsid w:val="00D97CD3"/>
    <w:rsid w:val="00DA5A62"/>
    <w:rsid w:val="00DB4965"/>
    <w:rsid w:val="00DF1A51"/>
    <w:rsid w:val="00DF354D"/>
    <w:rsid w:val="00E32C08"/>
    <w:rsid w:val="00E5225F"/>
    <w:rsid w:val="00E66E65"/>
    <w:rsid w:val="00E9496C"/>
    <w:rsid w:val="00EB2D4B"/>
    <w:rsid w:val="00EC7114"/>
    <w:rsid w:val="00EE1ABD"/>
    <w:rsid w:val="00EF34D7"/>
    <w:rsid w:val="00EF4B41"/>
    <w:rsid w:val="00F010AC"/>
    <w:rsid w:val="00F06CCB"/>
    <w:rsid w:val="00F110E3"/>
    <w:rsid w:val="00F21F11"/>
    <w:rsid w:val="00F4260A"/>
    <w:rsid w:val="00F50AAE"/>
    <w:rsid w:val="00F5555A"/>
    <w:rsid w:val="00F5666B"/>
    <w:rsid w:val="00F60B45"/>
    <w:rsid w:val="00F60BF3"/>
    <w:rsid w:val="00F7514C"/>
    <w:rsid w:val="00F77C76"/>
    <w:rsid w:val="00F9348E"/>
    <w:rsid w:val="00FB26BC"/>
    <w:rsid w:val="00FC3733"/>
    <w:rsid w:val="00FD2AA0"/>
    <w:rsid w:val="00FD57A6"/>
    <w:rsid w:val="00FE2449"/>
    <w:rsid w:val="00FE5D7B"/>
    <w:rsid w:val="00FF60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7EBD158"/>
  <w15:chartTrackingRefBased/>
  <w15:docId w15:val="{4CE8D9DF-B090-B041-A1C1-8D94C81CB2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317C05"/>
    <w:rPr>
      <w:sz w:val="20"/>
      <w:szCs w:val="20"/>
    </w:rPr>
  </w:style>
  <w:style w:type="character" w:customStyle="1" w:styleId="FootnoteTextChar">
    <w:name w:val="Footnote Text Char"/>
    <w:basedOn w:val="DefaultParagraphFont"/>
    <w:link w:val="FootnoteText"/>
    <w:uiPriority w:val="99"/>
    <w:semiHidden/>
    <w:rsid w:val="00317C05"/>
    <w:rPr>
      <w:sz w:val="20"/>
      <w:szCs w:val="20"/>
    </w:rPr>
  </w:style>
  <w:style w:type="character" w:styleId="FootnoteReference">
    <w:name w:val="footnote reference"/>
    <w:basedOn w:val="DefaultParagraphFont"/>
    <w:uiPriority w:val="99"/>
    <w:semiHidden/>
    <w:unhideWhenUsed/>
    <w:rsid w:val="00317C05"/>
    <w:rPr>
      <w:vertAlign w:val="superscript"/>
    </w:rPr>
  </w:style>
  <w:style w:type="paragraph" w:styleId="Footer">
    <w:name w:val="footer"/>
    <w:basedOn w:val="Normal"/>
    <w:link w:val="FooterChar"/>
    <w:uiPriority w:val="99"/>
    <w:unhideWhenUsed/>
    <w:rsid w:val="0097069C"/>
    <w:pPr>
      <w:tabs>
        <w:tab w:val="center" w:pos="4680"/>
        <w:tab w:val="right" w:pos="9360"/>
      </w:tabs>
    </w:pPr>
  </w:style>
  <w:style w:type="character" w:customStyle="1" w:styleId="FooterChar">
    <w:name w:val="Footer Char"/>
    <w:basedOn w:val="DefaultParagraphFont"/>
    <w:link w:val="Footer"/>
    <w:uiPriority w:val="99"/>
    <w:rsid w:val="0097069C"/>
  </w:style>
  <w:style w:type="character" w:styleId="PageNumber">
    <w:name w:val="page number"/>
    <w:basedOn w:val="DefaultParagraphFont"/>
    <w:uiPriority w:val="99"/>
    <w:semiHidden/>
    <w:unhideWhenUsed/>
    <w:rsid w:val="009706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542837-E741-A042-A7F2-E039ECF848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2741</Words>
  <Characters>15627</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Hamner</dc:creator>
  <cp:keywords/>
  <dc:description/>
  <cp:lastModifiedBy>Mary Hamner</cp:lastModifiedBy>
  <cp:revision>2</cp:revision>
  <cp:lastPrinted>2023-10-09T17:05:00Z</cp:lastPrinted>
  <dcterms:created xsi:type="dcterms:W3CDTF">2023-10-13T14:09:00Z</dcterms:created>
  <dcterms:modified xsi:type="dcterms:W3CDTF">2023-10-13T14:09:00Z</dcterms:modified>
</cp:coreProperties>
</file>