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69459E" w14:textId="07EE7976" w:rsidR="0075247B" w:rsidRPr="00B81348" w:rsidRDefault="0075247B" w:rsidP="0075247B">
      <w:pPr>
        <w:rPr>
          <w:b/>
          <w:bCs/>
        </w:rPr>
      </w:pPr>
      <w:r w:rsidRPr="00B81348">
        <w:rPr>
          <w:b/>
          <w:bCs/>
        </w:rPr>
        <w:t xml:space="preserve">The Inconvenience of </w:t>
      </w:r>
      <w:r w:rsidR="00B81348" w:rsidRPr="00B81348">
        <w:rPr>
          <w:b/>
          <w:bCs/>
        </w:rPr>
        <w:t>Others</w:t>
      </w:r>
      <w:r w:rsidRPr="00B81348">
        <w:rPr>
          <w:b/>
          <w:bCs/>
        </w:rPr>
        <w:t xml:space="preserve"> in the Study of Religion </w:t>
      </w:r>
    </w:p>
    <w:p w14:paraId="0F003619" w14:textId="6909BBD8" w:rsidR="00B81348" w:rsidRPr="00B81348" w:rsidRDefault="00B81348" w:rsidP="0075247B">
      <w:pPr>
        <w:rPr>
          <w:b/>
          <w:bCs/>
        </w:rPr>
      </w:pPr>
      <w:r w:rsidRPr="00B81348">
        <w:rPr>
          <w:b/>
          <w:bCs/>
        </w:rPr>
        <w:t>M. Cooper Minister</w:t>
      </w:r>
    </w:p>
    <w:p w14:paraId="0FCC3CAA" w14:textId="77777777" w:rsidR="00B81348" w:rsidRDefault="00B81348" w:rsidP="0075247B"/>
    <w:p w14:paraId="18B348AB" w14:textId="6434270F" w:rsidR="00B81348" w:rsidRPr="00B81348" w:rsidRDefault="00B81348" w:rsidP="0075247B">
      <w:pPr>
        <w:rPr>
          <w:b/>
          <w:bCs/>
          <w:i/>
          <w:iCs/>
        </w:rPr>
      </w:pPr>
      <w:r w:rsidRPr="00B81348">
        <w:rPr>
          <w:b/>
          <w:bCs/>
          <w:i/>
          <w:iCs/>
        </w:rPr>
        <w:t xml:space="preserve">Key Ideas </w:t>
      </w:r>
    </w:p>
    <w:p w14:paraId="0FA061FE" w14:textId="77777777" w:rsidR="0075247B" w:rsidRDefault="0075247B" w:rsidP="0075247B"/>
    <w:p w14:paraId="16DC0B77" w14:textId="5FF50F22" w:rsidR="0075247B" w:rsidRDefault="00B81348" w:rsidP="0075247B">
      <w:r>
        <w:t>In</w:t>
      </w:r>
      <w:r w:rsidR="0075247B">
        <w:t xml:space="preserve"> </w:t>
      </w:r>
      <w:r w:rsidR="0075247B" w:rsidRPr="00837FF4">
        <w:rPr>
          <w:i/>
          <w:iCs/>
        </w:rPr>
        <w:t>On the Inconvenience of Other People</w:t>
      </w:r>
      <w:r>
        <w:t>, Lauren</w:t>
      </w:r>
      <w:r w:rsidR="0075247B">
        <w:t xml:space="preserve"> Berlant considers the ambivalent ways in which we simultaneously desire and are annoyed by others and how learning to sustain our attention to the ways in which we are inconvenienced can help us live together differently.</w:t>
      </w:r>
      <w:r w:rsidR="00565D93">
        <w:t xml:space="preserve"> </w:t>
      </w:r>
      <w:r w:rsidR="0075247B">
        <w:t xml:space="preserve">Their argument is that we have an “inconvenience drive” that compels us to take in objects that are difficult to bear and learn to live with them. “Attachment,” they suggest, “is what draws you out into the world; inconvenience is the adjustment from taking things in.” (6) </w:t>
      </w:r>
    </w:p>
    <w:p w14:paraId="09510D94" w14:textId="77777777" w:rsidR="002A72B3" w:rsidRDefault="002A72B3" w:rsidP="0075247B"/>
    <w:p w14:paraId="1AC74DC5" w14:textId="6397B95A" w:rsidR="002A72B3" w:rsidRDefault="002A72B3" w:rsidP="0075247B">
      <w:r>
        <w:t xml:space="preserve">I see this </w:t>
      </w:r>
      <w:r w:rsidR="0042749F">
        <w:t>“</w:t>
      </w:r>
      <w:r>
        <w:t>inconvenience drive</w:t>
      </w:r>
      <w:r w:rsidR="0042749F">
        <w:t>”</w:t>
      </w:r>
      <w:r>
        <w:t xml:space="preserve"> at work in their own conversations with other scholars. While their </w:t>
      </w:r>
      <w:r w:rsidRPr="002A72B3">
        <w:rPr>
          <w:i/>
          <w:iCs/>
        </w:rPr>
        <w:t>Sex, Or the Unbearable</w:t>
      </w:r>
      <w:r>
        <w:t xml:space="preserve">, co-authored with Lee Edelman, is a paradigmatic example, I want to focus on the conversation they had with </w:t>
      </w:r>
      <w:proofErr w:type="spellStart"/>
      <w:r>
        <w:t>Alenka</w:t>
      </w:r>
      <w:proofErr w:type="spellEnd"/>
      <w:r>
        <w:t xml:space="preserve"> Zupančič in</w:t>
      </w:r>
      <w:r w:rsidR="00E16524">
        <w:t xml:space="preserve"> an edition of </w:t>
      </w:r>
      <w:r w:rsidRPr="00446B87">
        <w:rPr>
          <w:i/>
          <w:iCs/>
        </w:rPr>
        <w:t>Text</w:t>
      </w:r>
      <w:r w:rsidR="00E16524" w:rsidRPr="00446B87">
        <w:rPr>
          <w:i/>
          <w:iCs/>
        </w:rPr>
        <w:t>e</w:t>
      </w:r>
      <w:r w:rsidRPr="00446B87">
        <w:rPr>
          <w:i/>
          <w:iCs/>
        </w:rPr>
        <w:t xml:space="preserve"> Zur Kun</w:t>
      </w:r>
      <w:r w:rsidR="00E16524" w:rsidRPr="00446B87">
        <w:rPr>
          <w:i/>
          <w:iCs/>
        </w:rPr>
        <w:t>st</w:t>
      </w:r>
      <w:r w:rsidR="00E16524">
        <w:t xml:space="preserve"> focused on Comedy. The conversation, which also included </w:t>
      </w:r>
      <w:proofErr w:type="spellStart"/>
      <w:r w:rsidR="00E16524">
        <w:t>Sianne</w:t>
      </w:r>
      <w:proofErr w:type="spellEnd"/>
      <w:r w:rsidR="00E16524">
        <w:t xml:space="preserve"> Ngai, is titled </w:t>
      </w:r>
      <w:r w:rsidR="00446B87">
        <w:t>“</w:t>
      </w:r>
      <w:r w:rsidR="00E16524">
        <w:t>Sustaining Alternative Worlds: On Comedy and the Politics of Representation.</w:t>
      </w:r>
      <w:r w:rsidR="00446B87">
        <w:t>”</w:t>
      </w:r>
      <w:r w:rsidR="00E16524">
        <w:t xml:space="preserve"> </w:t>
      </w:r>
    </w:p>
    <w:p w14:paraId="6D6EB448" w14:textId="77777777" w:rsidR="00645868" w:rsidRDefault="00645868" w:rsidP="0075247B"/>
    <w:p w14:paraId="6CDAF8FB" w14:textId="39E51C5D" w:rsidR="00645868" w:rsidRDefault="00645868" w:rsidP="0075247B">
      <w:r>
        <w:t>While Berlant and Zupančič agree that humor can be a way of navigating inconvenience, they disagree in their definitions of a “successful” joke. For Zupančič, a successful joke moves something that had been stuck.</w:t>
      </w:r>
      <w:r w:rsidR="00565D93">
        <w:t xml:space="preserve"> </w:t>
      </w:r>
      <w:r>
        <w:t xml:space="preserve">For Berlant, a joke may be successful </w:t>
      </w:r>
      <w:r w:rsidR="00565D93">
        <w:t>for revealing a</w:t>
      </w:r>
      <w:r>
        <w:t xml:space="preserve"> shared desire to move, </w:t>
      </w:r>
      <w:proofErr w:type="gramStart"/>
      <w:r>
        <w:t>whether or not</w:t>
      </w:r>
      <w:proofErr w:type="gramEnd"/>
      <w:r>
        <w:t xml:space="preserve"> movement occurs</w:t>
      </w:r>
      <w:r w:rsidR="00565D93">
        <w:t xml:space="preserve">. </w:t>
      </w:r>
      <w:r>
        <w:t>Both point to the ways in which humor connects and alienates, revealing and soothing the edges in encounters with others</w:t>
      </w:r>
      <w:r w:rsidR="00565D93">
        <w:t>.</w:t>
      </w:r>
    </w:p>
    <w:p w14:paraId="12B0A4EE" w14:textId="77777777" w:rsidR="0075247B" w:rsidRDefault="0075247B" w:rsidP="0075247B"/>
    <w:p w14:paraId="1EF00C59" w14:textId="2DEF1BB2" w:rsidR="0075247B" w:rsidRPr="002A72B3" w:rsidRDefault="00B81348" w:rsidP="0075247B">
      <w:pPr>
        <w:rPr>
          <w:b/>
          <w:bCs/>
          <w:i/>
          <w:iCs/>
        </w:rPr>
      </w:pPr>
      <w:r w:rsidRPr="002A72B3">
        <w:rPr>
          <w:b/>
          <w:bCs/>
          <w:i/>
          <w:iCs/>
        </w:rPr>
        <w:t>Annotated Bibliography</w:t>
      </w:r>
    </w:p>
    <w:p w14:paraId="42598393" w14:textId="77777777" w:rsidR="00B81348" w:rsidRDefault="00B81348" w:rsidP="0075247B"/>
    <w:p w14:paraId="1179B96E" w14:textId="6762BFBC" w:rsidR="00B81348" w:rsidRDefault="00B81348" w:rsidP="0075247B">
      <w:r>
        <w:t xml:space="preserve">Berlant, Lauren. </w:t>
      </w:r>
      <w:r w:rsidR="002A72B3" w:rsidRPr="00676494">
        <w:rPr>
          <w:i/>
          <w:iCs/>
        </w:rPr>
        <w:t>On the Inconvenience of Other People</w:t>
      </w:r>
      <w:r w:rsidR="002A72B3">
        <w:t>.</w:t>
      </w:r>
      <w:r w:rsidR="00676494">
        <w:t xml:space="preserve"> Duke University Press, 202</w:t>
      </w:r>
      <w:r w:rsidR="008D6C03">
        <w:t>2</w:t>
      </w:r>
      <w:r w:rsidR="00676494">
        <w:t xml:space="preserve">. </w:t>
      </w:r>
    </w:p>
    <w:p w14:paraId="5CCAE154" w14:textId="77777777" w:rsidR="00C5343A" w:rsidRDefault="00C5343A" w:rsidP="0075247B"/>
    <w:p w14:paraId="165E28CA" w14:textId="1BA3FEBC" w:rsidR="00446B87" w:rsidRDefault="00446B87" w:rsidP="00446B87">
      <w:pPr>
        <w:pStyle w:val="ListParagraph"/>
        <w:numPr>
          <w:ilvl w:val="0"/>
          <w:numId w:val="4"/>
        </w:numPr>
      </w:pPr>
      <w:r>
        <w:t>The primary text I’m considering</w:t>
      </w:r>
      <w:r w:rsidR="00676494">
        <w:t xml:space="preserve">, </w:t>
      </w:r>
      <w:r w:rsidR="008D6C03">
        <w:t>arguing that we have an “inconvenience drive” that simultaneously and ambivalently attracts us to others while making living with those others inconvenient</w:t>
      </w:r>
      <w:r w:rsidR="00676494">
        <w:t xml:space="preserve">. </w:t>
      </w:r>
    </w:p>
    <w:p w14:paraId="4F74EF2E" w14:textId="77777777" w:rsidR="00B81348" w:rsidRDefault="00B81348" w:rsidP="0075247B"/>
    <w:p w14:paraId="1E1007B1" w14:textId="330C1F6B" w:rsidR="00B81348" w:rsidRDefault="00446B87" w:rsidP="0075247B">
      <w:r>
        <w:t xml:space="preserve">Lauren </w:t>
      </w:r>
      <w:r w:rsidR="002A72B3">
        <w:t xml:space="preserve">Berlant and </w:t>
      </w:r>
      <w:r>
        <w:t xml:space="preserve">Lee </w:t>
      </w:r>
      <w:r w:rsidR="002A72B3">
        <w:t xml:space="preserve">Edelman. </w:t>
      </w:r>
      <w:r w:rsidR="00B81348" w:rsidRPr="00676494">
        <w:rPr>
          <w:i/>
          <w:iCs/>
        </w:rPr>
        <w:t>Sex, Or the Unbearable</w:t>
      </w:r>
      <w:r w:rsidR="002A72B3">
        <w:t xml:space="preserve">. </w:t>
      </w:r>
      <w:r w:rsidR="00676494">
        <w:t xml:space="preserve">Duke University Press, </w:t>
      </w:r>
      <w:r w:rsidR="008D6C03">
        <w:t xml:space="preserve">2014. </w:t>
      </w:r>
    </w:p>
    <w:p w14:paraId="3EF7CFDB" w14:textId="77777777" w:rsidR="00C5343A" w:rsidRDefault="00C5343A" w:rsidP="0075247B"/>
    <w:p w14:paraId="68C19483" w14:textId="594BFED9" w:rsidR="00B81348" w:rsidRDefault="00B81348" w:rsidP="00B81348">
      <w:pPr>
        <w:pStyle w:val="ListParagraph"/>
        <w:numPr>
          <w:ilvl w:val="0"/>
          <w:numId w:val="3"/>
        </w:numPr>
      </w:pPr>
      <w:r>
        <w:t xml:space="preserve">A conversation between Berlant and Edelman that, read through the lens of Berlant’s ‘inconvenience drive,’ is an example of the ways in which we are both </w:t>
      </w:r>
      <w:r w:rsidR="002A72B3">
        <w:t xml:space="preserve">attracted and annoyed by others (and their ideas). </w:t>
      </w:r>
    </w:p>
    <w:p w14:paraId="07002C08" w14:textId="77777777" w:rsidR="00676494" w:rsidRDefault="00676494" w:rsidP="00676494"/>
    <w:p w14:paraId="392CE7B8" w14:textId="43EDE524" w:rsidR="00446B87" w:rsidRDefault="00676494" w:rsidP="00446B87">
      <w:r>
        <w:t xml:space="preserve">Lauren Berlant, </w:t>
      </w:r>
      <w:proofErr w:type="spellStart"/>
      <w:r>
        <w:t>Sianne</w:t>
      </w:r>
      <w:proofErr w:type="spellEnd"/>
      <w:r>
        <w:t xml:space="preserve"> Ngai, </w:t>
      </w:r>
      <w:proofErr w:type="spellStart"/>
      <w:r>
        <w:t>Alenka</w:t>
      </w:r>
      <w:proofErr w:type="spellEnd"/>
      <w:r>
        <w:t xml:space="preserve"> Zupančič</w:t>
      </w:r>
      <w:r w:rsidR="00C5343A">
        <w:t>.</w:t>
      </w:r>
      <w:r>
        <w:t xml:space="preserve"> “Sustaining Alternative Worlds: On Comedy and the Politics of Representation</w:t>
      </w:r>
      <w:r w:rsidR="00C5343A">
        <w:t>.</w:t>
      </w:r>
      <w:r>
        <w:t xml:space="preserve">” </w:t>
      </w:r>
      <w:r w:rsidRPr="00446B87">
        <w:rPr>
          <w:i/>
          <w:iCs/>
        </w:rPr>
        <w:t>Texte Zur Kunst</w:t>
      </w:r>
      <w:r>
        <w:t xml:space="preserve">. 2020. </w:t>
      </w:r>
      <w:hyperlink r:id="rId5" w:history="1">
        <w:r w:rsidR="008D6C03" w:rsidRPr="00437A2D">
          <w:rPr>
            <w:rStyle w:val="Hyperlink"/>
          </w:rPr>
          <w:t>https://www.textezurkunst.de/en/121/sustaining-alternative-worlds-comedy-and-politics-representation/</w:t>
        </w:r>
      </w:hyperlink>
      <w:r w:rsidR="00446B87">
        <w:t xml:space="preserve"> </w:t>
      </w:r>
    </w:p>
    <w:p w14:paraId="19638CD0" w14:textId="25A0703A" w:rsidR="00446B87" w:rsidRDefault="00446B87" w:rsidP="00446B87">
      <w:pPr>
        <w:pStyle w:val="ListParagraph"/>
        <w:numPr>
          <w:ilvl w:val="0"/>
          <w:numId w:val="3"/>
        </w:numPr>
      </w:pPr>
      <w:r>
        <w:lastRenderedPageBreak/>
        <w:t xml:space="preserve">A conversation among Berlant, Zupančič, and Ngai moderated by the editors of </w:t>
      </w:r>
      <w:r w:rsidRPr="008D6C03">
        <w:rPr>
          <w:i/>
          <w:iCs/>
        </w:rPr>
        <w:t>Texte Zur Kunst</w:t>
      </w:r>
      <w:r>
        <w:t xml:space="preserve"> focused on </w:t>
      </w:r>
      <w:r w:rsidR="008D6C03">
        <w:t xml:space="preserve">comedy, trauma, and representation. This is another example of Berlant’s inconvenience drive in their scholarship. </w:t>
      </w:r>
    </w:p>
    <w:p w14:paraId="0B5200A6" w14:textId="77777777" w:rsidR="00446B87" w:rsidRDefault="00446B87" w:rsidP="00446B87"/>
    <w:p w14:paraId="4F480688" w14:textId="5B28B339" w:rsidR="00446B87" w:rsidRDefault="00446B87" w:rsidP="00446B87">
      <w:proofErr w:type="spellStart"/>
      <w:r>
        <w:t>Alenka</w:t>
      </w:r>
      <w:proofErr w:type="spellEnd"/>
      <w:r>
        <w:t xml:space="preserve"> Zupančič</w:t>
      </w:r>
      <w:r w:rsidR="00C5343A">
        <w:t>.</w:t>
      </w:r>
      <w:r>
        <w:t xml:space="preserve"> </w:t>
      </w:r>
      <w:r w:rsidRPr="00C5343A">
        <w:rPr>
          <w:i/>
          <w:iCs/>
        </w:rPr>
        <w:t>The Odd One In: On Comedy</w:t>
      </w:r>
      <w:r w:rsidR="008D6C03">
        <w:t xml:space="preserve">. </w:t>
      </w:r>
      <w:r>
        <w:t>Cambridge: MIT Press, 2008.</w:t>
      </w:r>
    </w:p>
    <w:p w14:paraId="79A4B31E" w14:textId="77777777" w:rsidR="00C5343A" w:rsidRDefault="00C5343A" w:rsidP="00446B87"/>
    <w:p w14:paraId="2E63D9A4" w14:textId="6E4CF69F" w:rsidR="008D6C03" w:rsidRDefault="008D6C03" w:rsidP="008D6C03">
      <w:pPr>
        <w:pStyle w:val="ListParagraph"/>
        <w:numPr>
          <w:ilvl w:val="0"/>
          <w:numId w:val="3"/>
        </w:numPr>
      </w:pPr>
      <w:proofErr w:type="spellStart"/>
      <w:r>
        <w:t>Zupančič’s</w:t>
      </w:r>
      <w:proofErr w:type="spellEnd"/>
      <w:r>
        <w:t xml:space="preserve"> more developed theory of comedy, referenced in the conversation in </w:t>
      </w:r>
      <w:r w:rsidRPr="008D6C03">
        <w:rPr>
          <w:i/>
          <w:iCs/>
        </w:rPr>
        <w:t>Texte Zur Kunst</w:t>
      </w:r>
      <w:r>
        <w:t xml:space="preserve">. </w:t>
      </w:r>
    </w:p>
    <w:p w14:paraId="026D4D8B" w14:textId="77777777" w:rsidR="00B81348" w:rsidRDefault="00B81348" w:rsidP="0075247B"/>
    <w:p w14:paraId="4640A381" w14:textId="5F84E2EA" w:rsidR="00B81348" w:rsidRPr="00B81348" w:rsidRDefault="00565D93" w:rsidP="0075247B">
      <w:pPr>
        <w:rPr>
          <w:b/>
          <w:bCs/>
          <w:i/>
          <w:iCs/>
        </w:rPr>
      </w:pPr>
      <w:r>
        <w:rPr>
          <w:b/>
          <w:bCs/>
          <w:i/>
          <w:iCs/>
        </w:rPr>
        <w:t>The Inconvenience Drive</w:t>
      </w:r>
      <w:r w:rsidR="00B81348" w:rsidRPr="00B81348">
        <w:rPr>
          <w:b/>
          <w:bCs/>
          <w:i/>
          <w:iCs/>
        </w:rPr>
        <w:t xml:space="preserve"> in the Study of Religion</w:t>
      </w:r>
    </w:p>
    <w:p w14:paraId="3CA94635" w14:textId="77777777" w:rsidR="00B81348" w:rsidRDefault="00B81348" w:rsidP="0075247B"/>
    <w:p w14:paraId="5D7427D2" w14:textId="0382B17B" w:rsidR="00B81348" w:rsidRDefault="0075247B" w:rsidP="0075247B">
      <w:r>
        <w:t xml:space="preserve">While their work does not specifically address religious others, I propose considering their work in relation to religious studies because Berlant’s thesis about others is relevant for understanding how people </w:t>
      </w:r>
      <w:r w:rsidR="00B81348">
        <w:t>encounter and study</w:t>
      </w:r>
      <w:r>
        <w:t xml:space="preserve"> religious difference</w:t>
      </w:r>
      <w:r w:rsidR="00C5343A">
        <w:t xml:space="preserve"> and the potential uses of humor in encounters with religious others (especially because humor is often understood as something off-limits within scholarly encounters with otherness). </w:t>
      </w:r>
    </w:p>
    <w:p w14:paraId="4921437A" w14:textId="77777777" w:rsidR="00B81348" w:rsidRDefault="00B81348" w:rsidP="0075247B"/>
    <w:p w14:paraId="299A1F84" w14:textId="66708FE6" w:rsidR="00C5343A" w:rsidRDefault="00C5343A" w:rsidP="0075247B">
      <w:r>
        <w:t>People</w:t>
      </w:r>
      <w:r w:rsidR="00B81348">
        <w:t xml:space="preserve"> are inconvenienced by religious difference, in part, because the encounter reveals the contingency of beliefs and practices, a revelation that creates an opportunity for adjustment</w:t>
      </w:r>
      <w:r>
        <w:t xml:space="preserve"> and self-reorganization. </w:t>
      </w:r>
      <w:r>
        <w:t xml:space="preserve">I want to consider the specific ways in which people re-organize themselves in relation to the sustained acknowledgment of religious others. </w:t>
      </w:r>
    </w:p>
    <w:p w14:paraId="5F728CB4" w14:textId="77777777" w:rsidR="00C5343A" w:rsidRDefault="00C5343A" w:rsidP="0075247B"/>
    <w:p w14:paraId="7A167936" w14:textId="18B7D4FC" w:rsidR="0075247B" w:rsidRDefault="0075247B" w:rsidP="0075247B">
      <w:r>
        <w:t xml:space="preserve">I am also interested in the relevance of Berlant’s argument for scholarship about religion, how religious studies scholars are often inconvenienced by the objects of study, by non-expert accounts of religion, and how sustained acknowledgment might create space for reorganizing how we think about the scholarship of religion. </w:t>
      </w:r>
    </w:p>
    <w:p w14:paraId="6B6014F9" w14:textId="77777777" w:rsidR="00C5343A" w:rsidRDefault="00C5343A" w:rsidP="0075247B"/>
    <w:p w14:paraId="1C7B54D6" w14:textId="40E67E42" w:rsidR="00C5343A" w:rsidRDefault="00C5343A" w:rsidP="0075247B">
      <w:r>
        <w:t xml:space="preserve">Finally, I’m interested in the ways that humor can shift things in these inconvenient encounters with religious others by revealing some unexpected, shared desire or shifting something that seemed stuck. </w:t>
      </w:r>
    </w:p>
    <w:p w14:paraId="4DA32257" w14:textId="77777777" w:rsidR="0075247B" w:rsidRDefault="0075247B"/>
    <w:sectPr w:rsidR="007524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A5213"/>
    <w:multiLevelType w:val="hybridMultilevel"/>
    <w:tmpl w:val="16225E60"/>
    <w:lvl w:ilvl="0" w:tplc="76D8BE5A">
      <w:start w:val="1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887B08"/>
    <w:multiLevelType w:val="multilevel"/>
    <w:tmpl w:val="548A8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D6207D1"/>
    <w:multiLevelType w:val="multilevel"/>
    <w:tmpl w:val="12B4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01526AE"/>
    <w:multiLevelType w:val="hybridMultilevel"/>
    <w:tmpl w:val="1DEA1914"/>
    <w:lvl w:ilvl="0" w:tplc="1E50278A">
      <w:start w:val="1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0577817">
    <w:abstractNumId w:val="1"/>
  </w:num>
  <w:num w:numId="2" w16cid:durableId="1041593685">
    <w:abstractNumId w:val="2"/>
  </w:num>
  <w:num w:numId="3" w16cid:durableId="731931491">
    <w:abstractNumId w:val="3"/>
  </w:num>
  <w:num w:numId="4" w16cid:durableId="1440178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19E"/>
    <w:rsid w:val="0010406A"/>
    <w:rsid w:val="00220521"/>
    <w:rsid w:val="002A72B3"/>
    <w:rsid w:val="00391A39"/>
    <w:rsid w:val="003D6FE1"/>
    <w:rsid w:val="0042749F"/>
    <w:rsid w:val="00446B87"/>
    <w:rsid w:val="00565D93"/>
    <w:rsid w:val="00645868"/>
    <w:rsid w:val="00676494"/>
    <w:rsid w:val="006E4900"/>
    <w:rsid w:val="00714645"/>
    <w:rsid w:val="0075247B"/>
    <w:rsid w:val="008A119E"/>
    <w:rsid w:val="008B05EA"/>
    <w:rsid w:val="008D6C03"/>
    <w:rsid w:val="00A034D7"/>
    <w:rsid w:val="00B81348"/>
    <w:rsid w:val="00C5343A"/>
    <w:rsid w:val="00D52512"/>
    <w:rsid w:val="00E16524"/>
    <w:rsid w:val="00E642C7"/>
    <w:rsid w:val="00F67F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98DF4F"/>
  <w15:chartTrackingRefBased/>
  <w15:docId w15:val="{1C4F9DDB-B104-D34E-AE51-548B1ADC9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11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11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11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11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11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119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119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119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119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11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11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11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11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11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11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11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11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119E"/>
    <w:rPr>
      <w:rFonts w:eastAsiaTheme="majorEastAsia" w:cstheme="majorBidi"/>
      <w:color w:val="272727" w:themeColor="text1" w:themeTint="D8"/>
    </w:rPr>
  </w:style>
  <w:style w:type="paragraph" w:styleId="Title">
    <w:name w:val="Title"/>
    <w:basedOn w:val="Normal"/>
    <w:next w:val="Normal"/>
    <w:link w:val="TitleChar"/>
    <w:uiPriority w:val="10"/>
    <w:qFormat/>
    <w:rsid w:val="008A119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11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119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11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119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A119E"/>
    <w:rPr>
      <w:i/>
      <w:iCs/>
      <w:color w:val="404040" w:themeColor="text1" w:themeTint="BF"/>
    </w:rPr>
  </w:style>
  <w:style w:type="paragraph" w:styleId="ListParagraph">
    <w:name w:val="List Paragraph"/>
    <w:basedOn w:val="Normal"/>
    <w:uiPriority w:val="34"/>
    <w:qFormat/>
    <w:rsid w:val="008A119E"/>
    <w:pPr>
      <w:ind w:left="720"/>
      <w:contextualSpacing/>
    </w:pPr>
  </w:style>
  <w:style w:type="character" w:styleId="IntenseEmphasis">
    <w:name w:val="Intense Emphasis"/>
    <w:basedOn w:val="DefaultParagraphFont"/>
    <w:uiPriority w:val="21"/>
    <w:qFormat/>
    <w:rsid w:val="008A119E"/>
    <w:rPr>
      <w:i/>
      <w:iCs/>
      <w:color w:val="0F4761" w:themeColor="accent1" w:themeShade="BF"/>
    </w:rPr>
  </w:style>
  <w:style w:type="paragraph" w:styleId="IntenseQuote">
    <w:name w:val="Intense Quote"/>
    <w:basedOn w:val="Normal"/>
    <w:next w:val="Normal"/>
    <w:link w:val="IntenseQuoteChar"/>
    <w:uiPriority w:val="30"/>
    <w:qFormat/>
    <w:rsid w:val="008A11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119E"/>
    <w:rPr>
      <w:i/>
      <w:iCs/>
      <w:color w:val="0F4761" w:themeColor="accent1" w:themeShade="BF"/>
    </w:rPr>
  </w:style>
  <w:style w:type="character" w:styleId="IntenseReference">
    <w:name w:val="Intense Reference"/>
    <w:basedOn w:val="DefaultParagraphFont"/>
    <w:uiPriority w:val="32"/>
    <w:qFormat/>
    <w:rsid w:val="008A119E"/>
    <w:rPr>
      <w:b/>
      <w:bCs/>
      <w:smallCaps/>
      <w:color w:val="0F4761" w:themeColor="accent1" w:themeShade="BF"/>
      <w:spacing w:val="5"/>
    </w:rPr>
  </w:style>
  <w:style w:type="character" w:styleId="Hyperlink">
    <w:name w:val="Hyperlink"/>
    <w:basedOn w:val="DefaultParagraphFont"/>
    <w:uiPriority w:val="99"/>
    <w:unhideWhenUsed/>
    <w:rsid w:val="00446B87"/>
    <w:rPr>
      <w:color w:val="467886" w:themeColor="hyperlink"/>
      <w:u w:val="single"/>
    </w:rPr>
  </w:style>
  <w:style w:type="character" w:styleId="UnresolvedMention">
    <w:name w:val="Unresolved Mention"/>
    <w:basedOn w:val="DefaultParagraphFont"/>
    <w:uiPriority w:val="99"/>
    <w:semiHidden/>
    <w:unhideWhenUsed/>
    <w:rsid w:val="00446B87"/>
    <w:rPr>
      <w:color w:val="605E5C"/>
      <w:shd w:val="clear" w:color="auto" w:fill="E1DFDD"/>
    </w:rPr>
  </w:style>
  <w:style w:type="character" w:styleId="FollowedHyperlink">
    <w:name w:val="FollowedHyperlink"/>
    <w:basedOn w:val="DefaultParagraphFont"/>
    <w:uiPriority w:val="99"/>
    <w:semiHidden/>
    <w:unhideWhenUsed/>
    <w:rsid w:val="0067649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0431347">
      <w:bodyDiv w:val="1"/>
      <w:marLeft w:val="0"/>
      <w:marRight w:val="0"/>
      <w:marTop w:val="0"/>
      <w:marBottom w:val="0"/>
      <w:divBdr>
        <w:top w:val="none" w:sz="0" w:space="0" w:color="auto"/>
        <w:left w:val="none" w:sz="0" w:space="0" w:color="auto"/>
        <w:bottom w:val="none" w:sz="0" w:space="0" w:color="auto"/>
        <w:right w:val="none" w:sz="0" w:space="0" w:color="auto"/>
      </w:divBdr>
    </w:div>
    <w:div w:id="802819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extezurkunst.de/en/121/sustaining-alternative-worlds-comedy-and-politics-represent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634</Words>
  <Characters>3618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Cooper Minister</dc:creator>
  <cp:keywords/>
  <dc:description/>
  <cp:lastModifiedBy>Cooper Minister</cp:lastModifiedBy>
  <cp:revision>5</cp:revision>
  <dcterms:created xsi:type="dcterms:W3CDTF">2024-10-04T01:26:00Z</dcterms:created>
  <dcterms:modified xsi:type="dcterms:W3CDTF">2024-10-04T14:43:00Z</dcterms:modified>
</cp:coreProperties>
</file>