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C1236C" w:rsidRDefault="00CD103E">
      <w:pPr>
        <w:rPr>
          <w:rFonts w:ascii="Times New Roman" w:eastAsia="Times New Roman" w:hAnsi="Times New Roman" w:cs="Times New Roman"/>
        </w:rPr>
      </w:pPr>
      <w:r>
        <w:rPr>
          <w:rFonts w:ascii="Times New Roman" w:eastAsia="Times New Roman" w:hAnsi="Times New Roman" w:cs="Times New Roman"/>
        </w:rPr>
        <w:t xml:space="preserve">Sam H. Calderwood </w:t>
      </w:r>
    </w:p>
    <w:p w14:paraId="00000002" w14:textId="77777777" w:rsidR="00C1236C" w:rsidRDefault="00CD103E">
      <w:pPr>
        <w:rPr>
          <w:rFonts w:ascii="Times New Roman" w:eastAsia="Times New Roman" w:hAnsi="Times New Roman" w:cs="Times New Roman"/>
        </w:rPr>
      </w:pPr>
      <w:hyperlink r:id="rId5">
        <w:r>
          <w:rPr>
            <w:rFonts w:ascii="Times New Roman" w:eastAsia="Times New Roman" w:hAnsi="Times New Roman" w:cs="Times New Roman"/>
            <w:color w:val="1155CC"/>
            <w:u w:val="single"/>
          </w:rPr>
          <w:t>sam.calderwood42@gmail.com</w:t>
        </w:r>
      </w:hyperlink>
      <w:r>
        <w:rPr>
          <w:rFonts w:ascii="Times New Roman" w:eastAsia="Times New Roman" w:hAnsi="Times New Roman" w:cs="Times New Roman"/>
        </w:rPr>
        <w:tab/>
      </w:r>
    </w:p>
    <w:p w14:paraId="00000003" w14:textId="77777777" w:rsidR="00C1236C" w:rsidRDefault="00CD103E">
      <w:pPr>
        <w:rPr>
          <w:rFonts w:ascii="Times New Roman" w:eastAsia="Times New Roman" w:hAnsi="Times New Roman" w:cs="Times New Roman"/>
        </w:rPr>
      </w:pPr>
      <w:r>
        <w:rPr>
          <w:rFonts w:ascii="Times New Roman" w:eastAsia="Times New Roman" w:hAnsi="Times New Roman" w:cs="Times New Roman"/>
        </w:rPr>
        <w:t xml:space="preserve">Independent Scholar </w:t>
      </w:r>
    </w:p>
    <w:p w14:paraId="00000004" w14:textId="77777777" w:rsidR="00C1236C" w:rsidRDefault="00C1236C">
      <w:pPr>
        <w:rPr>
          <w:rFonts w:ascii="Times New Roman" w:eastAsia="Times New Roman" w:hAnsi="Times New Roman" w:cs="Times New Roman"/>
        </w:rPr>
      </w:pPr>
    </w:p>
    <w:p w14:paraId="00000005"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rPr>
        <w:t>“</w:t>
      </w:r>
      <w:r>
        <w:rPr>
          <w:rFonts w:ascii="Times New Roman" w:eastAsia="Times New Roman" w:hAnsi="Times New Roman" w:cs="Times New Roman"/>
          <w:sz w:val="24"/>
          <w:szCs w:val="24"/>
        </w:rPr>
        <w:t>Pan-</w:t>
      </w:r>
      <w:proofErr w:type="spellStart"/>
      <w:r>
        <w:rPr>
          <w:rFonts w:ascii="Times New Roman" w:eastAsia="Times New Roman" w:hAnsi="Times New Roman" w:cs="Times New Roman"/>
          <w:sz w:val="24"/>
          <w:szCs w:val="24"/>
        </w:rPr>
        <w:t>Relationalism</w:t>
      </w:r>
      <w:proofErr w:type="spellEnd"/>
      <w:r>
        <w:rPr>
          <w:rFonts w:ascii="Times New Roman" w:eastAsia="Times New Roman" w:hAnsi="Times New Roman" w:cs="Times New Roman"/>
          <w:sz w:val="24"/>
          <w:szCs w:val="24"/>
        </w:rPr>
        <w:t xml:space="preserve"> and the Extra/ordinary” </w:t>
      </w:r>
    </w:p>
    <w:p w14:paraId="00000006" w14:textId="77777777" w:rsidR="00C1236C" w:rsidRDefault="00C1236C">
      <w:pPr>
        <w:rPr>
          <w:rFonts w:ascii="Times New Roman" w:eastAsia="Times New Roman" w:hAnsi="Times New Roman" w:cs="Times New Roman"/>
          <w:sz w:val="24"/>
          <w:szCs w:val="24"/>
        </w:rPr>
      </w:pPr>
    </w:p>
    <w:p w14:paraId="00000007" w14:textId="77777777" w:rsidR="00C1236C" w:rsidRDefault="00C1236C">
      <w:pPr>
        <w:rPr>
          <w:rFonts w:ascii="Times New Roman" w:eastAsia="Times New Roman" w:hAnsi="Times New Roman" w:cs="Times New Roman"/>
          <w:sz w:val="24"/>
          <w:szCs w:val="24"/>
        </w:rPr>
      </w:pPr>
    </w:p>
    <w:p w14:paraId="00000008"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his posthumously published book </w:t>
      </w:r>
      <w:r>
        <w:rPr>
          <w:rFonts w:ascii="Times New Roman" w:eastAsia="Times New Roman" w:hAnsi="Times New Roman" w:cs="Times New Roman"/>
          <w:i/>
          <w:sz w:val="24"/>
          <w:szCs w:val="24"/>
        </w:rPr>
        <w:t>Pragmatism as Anti-Authoritarianism</w:t>
      </w:r>
      <w:r>
        <w:rPr>
          <w:rFonts w:ascii="Times New Roman" w:eastAsia="Times New Roman" w:hAnsi="Times New Roman" w:cs="Times New Roman"/>
          <w:sz w:val="24"/>
          <w:szCs w:val="24"/>
        </w:rPr>
        <w:t xml:space="preserve">, Richard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presents the culmination of his thoughts on the principles of pragmatism. In this collection of previously given lectures he makes explicit what he calls pan-</w:t>
      </w:r>
      <w:proofErr w:type="spellStart"/>
      <w:r>
        <w:rPr>
          <w:rFonts w:ascii="Times New Roman" w:eastAsia="Times New Roman" w:hAnsi="Times New Roman" w:cs="Times New Roman"/>
          <w:sz w:val="24"/>
          <w:szCs w:val="24"/>
        </w:rPr>
        <w:t>relationalism</w:t>
      </w:r>
      <w:proofErr w:type="spellEnd"/>
      <w:r>
        <w:rPr>
          <w:rFonts w:ascii="Times New Roman" w:eastAsia="Times New Roman" w:hAnsi="Times New Roman" w:cs="Times New Roman"/>
          <w:sz w:val="24"/>
          <w:szCs w:val="24"/>
        </w:rPr>
        <w:t xml:space="preserve">. The key tenant of </w:t>
      </w:r>
      <w:proofErr w:type="spellStart"/>
      <w:r>
        <w:rPr>
          <w:rFonts w:ascii="Times New Roman" w:eastAsia="Times New Roman" w:hAnsi="Times New Roman" w:cs="Times New Roman"/>
          <w:sz w:val="24"/>
          <w:szCs w:val="24"/>
        </w:rPr>
        <w:t>Rorty’s</w:t>
      </w:r>
      <w:proofErr w:type="spellEnd"/>
      <w:r>
        <w:rPr>
          <w:rFonts w:ascii="Times New Roman" w:eastAsia="Times New Roman" w:hAnsi="Times New Roman" w:cs="Times New Roman"/>
          <w:sz w:val="24"/>
          <w:szCs w:val="24"/>
        </w:rPr>
        <w:t xml:space="preserve"> pan-</w:t>
      </w:r>
      <w:proofErr w:type="spellStart"/>
      <w:r>
        <w:rPr>
          <w:rFonts w:ascii="Times New Roman" w:eastAsia="Times New Roman" w:hAnsi="Times New Roman" w:cs="Times New Roman"/>
          <w:sz w:val="24"/>
          <w:szCs w:val="24"/>
        </w:rPr>
        <w:t>relationalism</w:t>
      </w:r>
      <w:proofErr w:type="spellEnd"/>
      <w:r>
        <w:rPr>
          <w:rFonts w:ascii="Times New Roman" w:eastAsia="Times New Roman" w:hAnsi="Times New Roman" w:cs="Times New Roman"/>
          <w:sz w:val="24"/>
          <w:szCs w:val="24"/>
        </w:rPr>
        <w:t xml:space="preserve"> is that things can only be known in virtue of their relations to other things. By extension, this anti-essentialist position argues that descriptions are not telling of anything about an object, but rather that each description is related to so</w:t>
      </w:r>
      <w:r>
        <w:rPr>
          <w:rFonts w:ascii="Times New Roman" w:eastAsia="Times New Roman" w:hAnsi="Times New Roman" w:cs="Times New Roman"/>
          <w:sz w:val="24"/>
          <w:szCs w:val="24"/>
        </w:rPr>
        <w:t xml:space="preserve">me human need or interest. Thus, it is not about getting an object's description correct in a correspondence sense, but rather adjusting objects' relations to other objects in different contexts that provides their utility and profitability to those descriptions. There are a few ways that adopting this methodological approach in critical religion scholarship can be useful. First, it would make scholars of religion be more self-reflexive of their own use of </w:t>
      </w:r>
      <w:proofErr w:type="spellStart"/>
      <w:r>
        <w:rPr>
          <w:rFonts w:ascii="Times New Roman" w:eastAsia="Times New Roman" w:hAnsi="Times New Roman" w:cs="Times New Roman"/>
          <w:sz w:val="24"/>
          <w:szCs w:val="24"/>
        </w:rPr>
        <w:t>exceptionalizing</w:t>
      </w:r>
      <w:proofErr w:type="spellEnd"/>
      <w:r>
        <w:rPr>
          <w:rFonts w:ascii="Times New Roman" w:eastAsia="Times New Roman" w:hAnsi="Times New Roman" w:cs="Times New Roman"/>
          <w:sz w:val="24"/>
          <w:szCs w:val="24"/>
        </w:rPr>
        <w:t xml:space="preserve"> and how they are manipulating obje</w:t>
      </w:r>
      <w:r>
        <w:rPr>
          <w:rFonts w:ascii="Times New Roman" w:eastAsia="Times New Roman" w:hAnsi="Times New Roman" w:cs="Times New Roman"/>
          <w:sz w:val="24"/>
          <w:szCs w:val="24"/>
        </w:rPr>
        <w:t>cts and terms relations to fit their own purposes. For example, one can manipulate the relations of some action that is generally seen as ordinary to place it in a context in which it is seen as extraordinary and vice versa. But those manipulations of those objects' relations must be done self-reflexively with the scholars' needs and interests as part of those relations. Second, it would make religious scholars ask more probing questions about other scholars' relational objects and interests that would lead</w:t>
      </w:r>
      <w:r>
        <w:rPr>
          <w:rFonts w:ascii="Times New Roman" w:eastAsia="Times New Roman" w:hAnsi="Times New Roman" w:cs="Times New Roman"/>
          <w:sz w:val="24"/>
          <w:szCs w:val="24"/>
        </w:rPr>
        <w:t xml:space="preserve"> to more nuanced critiques of their positions.</w:t>
      </w:r>
    </w:p>
    <w:p w14:paraId="00000009" w14:textId="77777777" w:rsidR="00C1236C" w:rsidRDefault="00C1236C">
      <w:pPr>
        <w:rPr>
          <w:rFonts w:ascii="Times New Roman" w:eastAsia="Times New Roman" w:hAnsi="Times New Roman" w:cs="Times New Roman"/>
          <w:sz w:val="24"/>
          <w:szCs w:val="24"/>
        </w:rPr>
      </w:pPr>
    </w:p>
    <w:p w14:paraId="0000000A" w14:textId="77777777" w:rsidR="00C1236C" w:rsidRDefault="00CD103E">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Key  Ideas</w:t>
      </w:r>
      <w:proofErr w:type="gramEnd"/>
      <w:r>
        <w:rPr>
          <w:rFonts w:ascii="Times New Roman" w:eastAsia="Times New Roman" w:hAnsi="Times New Roman" w:cs="Times New Roman"/>
          <w:sz w:val="24"/>
          <w:szCs w:val="24"/>
        </w:rPr>
        <w:t>:</w:t>
      </w:r>
    </w:p>
    <w:p w14:paraId="0000000B" w14:textId="77777777" w:rsidR="00C1236C" w:rsidRDefault="00CD103E">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Pan-</w:t>
      </w:r>
      <w:proofErr w:type="spellStart"/>
      <w:r>
        <w:rPr>
          <w:rFonts w:ascii="Times New Roman" w:eastAsia="Times New Roman" w:hAnsi="Times New Roman" w:cs="Times New Roman"/>
          <w:i/>
          <w:sz w:val="24"/>
          <w:szCs w:val="24"/>
        </w:rPr>
        <w:t>Relationalism</w:t>
      </w:r>
      <w:proofErr w:type="spellEnd"/>
      <w:r>
        <w:rPr>
          <w:rFonts w:ascii="Times New Roman" w:eastAsia="Times New Roman" w:hAnsi="Times New Roman" w:cs="Times New Roman"/>
          <w:sz w:val="24"/>
          <w:szCs w:val="24"/>
        </w:rPr>
        <w:t xml:space="preserve">: Thinking of descriptions of things as relational to other things not as intrinsic properties of some object. Using these relations </w:t>
      </w:r>
      <w:proofErr w:type="gramStart"/>
      <w:r>
        <w:rPr>
          <w:rFonts w:ascii="Times New Roman" w:eastAsia="Times New Roman" w:hAnsi="Times New Roman" w:cs="Times New Roman"/>
          <w:sz w:val="24"/>
          <w:szCs w:val="24"/>
        </w:rPr>
        <w:t>as a way to</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exceptionalize</w:t>
      </w:r>
      <w:proofErr w:type="spellEnd"/>
      <w:r>
        <w:rPr>
          <w:rFonts w:ascii="Times New Roman" w:eastAsia="Times New Roman" w:hAnsi="Times New Roman" w:cs="Times New Roman"/>
          <w:sz w:val="24"/>
          <w:szCs w:val="24"/>
        </w:rPr>
        <w:t xml:space="preserve"> and de-</w:t>
      </w:r>
      <w:proofErr w:type="spellStart"/>
      <w:r>
        <w:rPr>
          <w:rFonts w:ascii="Times New Roman" w:eastAsia="Times New Roman" w:hAnsi="Times New Roman" w:cs="Times New Roman"/>
          <w:sz w:val="24"/>
          <w:szCs w:val="24"/>
        </w:rPr>
        <w:t>exceptionalize</w:t>
      </w:r>
      <w:proofErr w:type="spellEnd"/>
      <w:r>
        <w:rPr>
          <w:rFonts w:ascii="Times New Roman" w:eastAsia="Times New Roman" w:hAnsi="Times New Roman" w:cs="Times New Roman"/>
          <w:sz w:val="24"/>
          <w:szCs w:val="24"/>
        </w:rPr>
        <w:t xml:space="preserve"> objects seen as ordinary or extraordinary for a scholars’ interest and needs. Being self-reflexive about the descriptions used, as we describe them, in their utility toward our goals. </w:t>
      </w:r>
    </w:p>
    <w:p w14:paraId="0000000C" w14:textId="77777777" w:rsidR="00C1236C" w:rsidRDefault="00CD103E">
      <w:pPr>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Contextualism</w:t>
      </w:r>
      <w:r>
        <w:rPr>
          <w:rFonts w:ascii="Times New Roman" w:eastAsia="Times New Roman" w:hAnsi="Times New Roman" w:cs="Times New Roman"/>
          <w:sz w:val="24"/>
          <w:szCs w:val="24"/>
        </w:rPr>
        <w:t xml:space="preserve">: Things are only knowable when set in specific relations within specific contexts. Things seen as ordinary and extraordinary are only seen in those ways in relation to the specific context in which they are described. Changing the context and relations changes their description as ordinary or extraordinary. </w:t>
      </w:r>
    </w:p>
    <w:p w14:paraId="0000000D" w14:textId="77777777" w:rsidR="00C1236C" w:rsidRDefault="00C1236C">
      <w:pPr>
        <w:rPr>
          <w:rFonts w:ascii="Times New Roman" w:eastAsia="Times New Roman" w:hAnsi="Times New Roman" w:cs="Times New Roman"/>
          <w:sz w:val="24"/>
          <w:szCs w:val="24"/>
        </w:rPr>
      </w:pPr>
    </w:p>
    <w:p w14:paraId="0000000E"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Annotated Bibliography:</w:t>
      </w:r>
    </w:p>
    <w:p w14:paraId="0000000F" w14:textId="77777777" w:rsidR="00C1236C" w:rsidRDefault="00C1236C">
      <w:pPr>
        <w:rPr>
          <w:rFonts w:ascii="Times New Roman" w:eastAsia="Times New Roman" w:hAnsi="Times New Roman" w:cs="Times New Roman"/>
          <w:sz w:val="24"/>
          <w:szCs w:val="24"/>
        </w:rPr>
      </w:pPr>
    </w:p>
    <w:p w14:paraId="00000010" w14:textId="77777777" w:rsidR="00C1236C" w:rsidRDefault="00CD103E">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Richard. </w:t>
      </w:r>
      <w:r>
        <w:rPr>
          <w:rFonts w:ascii="Times New Roman" w:eastAsia="Times New Roman" w:hAnsi="Times New Roman" w:cs="Times New Roman"/>
          <w:i/>
          <w:sz w:val="24"/>
          <w:szCs w:val="24"/>
        </w:rPr>
        <w:t xml:space="preserve">Pragmatism as Anti-Authoritarianism. </w:t>
      </w:r>
      <w:r>
        <w:rPr>
          <w:rFonts w:ascii="Times New Roman" w:eastAsia="Times New Roman" w:hAnsi="Times New Roman" w:cs="Times New Roman"/>
          <w:sz w:val="24"/>
          <w:szCs w:val="24"/>
        </w:rPr>
        <w:t>Cambridge, MA: Belknap Press, 2021.</w:t>
      </w:r>
    </w:p>
    <w:p w14:paraId="00000011"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My discussion focuses on chapter 5 (Pan-</w:t>
      </w:r>
      <w:proofErr w:type="spellStart"/>
      <w:r>
        <w:rPr>
          <w:rFonts w:ascii="Times New Roman" w:eastAsia="Times New Roman" w:hAnsi="Times New Roman" w:cs="Times New Roman"/>
          <w:sz w:val="24"/>
          <w:szCs w:val="24"/>
        </w:rPr>
        <w:t>Relationalism</w:t>
      </w:r>
      <w:proofErr w:type="spellEnd"/>
      <w:r>
        <w:rPr>
          <w:rFonts w:ascii="Times New Roman" w:eastAsia="Times New Roman" w:hAnsi="Times New Roman" w:cs="Times New Roman"/>
          <w:sz w:val="24"/>
          <w:szCs w:val="24"/>
        </w:rPr>
        <w:t xml:space="preserve">) and chapter 6 (Against Depth).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painstakingly lays out his understanding of the tenets of pan-</w:t>
      </w:r>
      <w:proofErr w:type="spellStart"/>
      <w:r>
        <w:rPr>
          <w:rFonts w:ascii="Times New Roman" w:eastAsia="Times New Roman" w:hAnsi="Times New Roman" w:cs="Times New Roman"/>
          <w:sz w:val="24"/>
          <w:szCs w:val="24"/>
        </w:rPr>
        <w:t>relationalism</w:t>
      </w:r>
      <w:proofErr w:type="spellEnd"/>
      <w:r>
        <w:rPr>
          <w:rFonts w:ascii="Times New Roman" w:eastAsia="Times New Roman" w:hAnsi="Times New Roman" w:cs="Times New Roman"/>
          <w:sz w:val="24"/>
          <w:szCs w:val="24"/>
        </w:rPr>
        <w:t xml:space="preserve"> and the adoption of the pan-relational position in practice in these two chapters. In chapter 5 he focuses on the details of the pan-</w:t>
      </w:r>
      <w:proofErr w:type="spellStart"/>
      <w:r>
        <w:rPr>
          <w:rFonts w:ascii="Times New Roman" w:eastAsia="Times New Roman" w:hAnsi="Times New Roman" w:cs="Times New Roman"/>
          <w:sz w:val="24"/>
          <w:szCs w:val="24"/>
        </w:rPr>
        <w:t>relationalist</w:t>
      </w:r>
      <w:proofErr w:type="spellEnd"/>
      <w:r>
        <w:rPr>
          <w:rFonts w:ascii="Times New Roman" w:eastAsia="Times New Roman" w:hAnsi="Times New Roman" w:cs="Times New Roman"/>
          <w:sz w:val="24"/>
          <w:szCs w:val="24"/>
        </w:rPr>
        <w:t xml:space="preserve"> position and in chapter 6 he uses the position to argue against opponents of pan-</w:t>
      </w:r>
      <w:proofErr w:type="spellStart"/>
      <w:r>
        <w:rPr>
          <w:rFonts w:ascii="Times New Roman" w:eastAsia="Times New Roman" w:hAnsi="Times New Roman" w:cs="Times New Roman"/>
          <w:sz w:val="24"/>
          <w:szCs w:val="24"/>
        </w:rPr>
        <w:t>relationalists</w:t>
      </w:r>
      <w:proofErr w:type="spellEnd"/>
      <w:r>
        <w:rPr>
          <w:rFonts w:ascii="Times New Roman" w:eastAsia="Times New Roman" w:hAnsi="Times New Roman" w:cs="Times New Roman"/>
          <w:sz w:val="24"/>
          <w:szCs w:val="24"/>
        </w:rPr>
        <w:t xml:space="preserve">. </w:t>
      </w:r>
    </w:p>
    <w:p w14:paraId="00000012" w14:textId="77777777" w:rsidR="00C1236C" w:rsidRDefault="00C1236C">
      <w:pPr>
        <w:rPr>
          <w:rFonts w:ascii="Times New Roman" w:eastAsia="Times New Roman" w:hAnsi="Times New Roman" w:cs="Times New Roman"/>
          <w:sz w:val="24"/>
          <w:szCs w:val="24"/>
        </w:rPr>
      </w:pPr>
    </w:p>
    <w:p w14:paraId="00000013" w14:textId="77777777" w:rsidR="00C1236C" w:rsidRDefault="00CD103E">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Richard. “Inquiry as Recontextualization: An Anti-Dualist Account of Interpretation.” Chapter. In </w:t>
      </w:r>
      <w:r>
        <w:rPr>
          <w:rFonts w:ascii="Times New Roman" w:eastAsia="Times New Roman" w:hAnsi="Times New Roman" w:cs="Times New Roman"/>
          <w:i/>
          <w:sz w:val="24"/>
          <w:szCs w:val="24"/>
        </w:rPr>
        <w:t>Objectivity, Relativism, and Truth: Philosophical Papers</w:t>
      </w:r>
      <w:r>
        <w:rPr>
          <w:rFonts w:ascii="Times New Roman" w:eastAsia="Times New Roman" w:hAnsi="Times New Roman" w:cs="Times New Roman"/>
          <w:sz w:val="24"/>
          <w:szCs w:val="24"/>
        </w:rPr>
        <w:t>, 93–110. Cambridge MA: Cambridge University Press, 1991.</w:t>
      </w:r>
    </w:p>
    <w:p w14:paraId="00000014" w14:textId="77777777" w:rsidR="00C1236C" w:rsidRDefault="00CD103E">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argues in this chapter that discourses start embedded in culture and take elements from that culture </w:t>
      </w:r>
      <w:proofErr w:type="gramStart"/>
      <w:r>
        <w:rPr>
          <w:rFonts w:ascii="Times New Roman" w:eastAsia="Times New Roman" w:hAnsi="Times New Roman" w:cs="Times New Roman"/>
          <w:sz w:val="24"/>
          <w:szCs w:val="24"/>
        </w:rPr>
        <w:t>making adjustments to</w:t>
      </w:r>
      <w:proofErr w:type="gramEnd"/>
      <w:r>
        <w:rPr>
          <w:rFonts w:ascii="Times New Roman" w:eastAsia="Times New Roman" w:hAnsi="Times New Roman" w:cs="Times New Roman"/>
          <w:sz w:val="24"/>
          <w:szCs w:val="24"/>
        </w:rPr>
        <w:t xml:space="preserve"> them. When new beliefs and desires are added to this discourse one must recontextualize them into making sense in the larger web of beliefs, desires and attitudes. He argues that the reason for the need to recontextualize these is an attempt to alleviate contradictions and tensions that arise when new relations are made or added to the web of existing relations. </w:t>
      </w:r>
    </w:p>
    <w:p w14:paraId="00000015" w14:textId="77777777" w:rsidR="00C1236C" w:rsidRDefault="00C1236C">
      <w:pPr>
        <w:rPr>
          <w:rFonts w:ascii="Times New Roman" w:eastAsia="Times New Roman" w:hAnsi="Times New Roman" w:cs="Times New Roman"/>
          <w:sz w:val="24"/>
          <w:szCs w:val="24"/>
        </w:rPr>
      </w:pPr>
    </w:p>
    <w:p w14:paraId="00000016" w14:textId="77777777" w:rsidR="00C1236C" w:rsidRDefault="00CD103E">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Frankenberry</w:t>
      </w:r>
      <w:proofErr w:type="spellEnd"/>
      <w:r>
        <w:rPr>
          <w:rFonts w:ascii="Times New Roman" w:eastAsia="Times New Roman" w:hAnsi="Times New Roman" w:cs="Times New Roman"/>
          <w:sz w:val="24"/>
          <w:szCs w:val="24"/>
        </w:rPr>
        <w:t xml:space="preserve">, Nancy. “The Study of Religion after Davidson and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American Journal of Theology &amp; Philosophy</w:t>
      </w:r>
      <w:r>
        <w:rPr>
          <w:rFonts w:ascii="Times New Roman" w:eastAsia="Times New Roman" w:hAnsi="Times New Roman" w:cs="Times New Roman"/>
          <w:sz w:val="24"/>
          <w:szCs w:val="24"/>
        </w:rPr>
        <w:t xml:space="preserve"> 35, no. 3 (2014): 195–210. https://doi.org/10.5406/amerjtheophil.35.3.0195.</w:t>
      </w:r>
    </w:p>
    <w:p w14:paraId="00000017"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example of how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has been discussed in religious studies. This paper focuses on the private-public distinction and how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is in favor of placing religion in the private only category. </w:t>
      </w:r>
      <w:proofErr w:type="spellStart"/>
      <w:r>
        <w:rPr>
          <w:rFonts w:ascii="Times New Roman" w:eastAsia="Times New Roman" w:hAnsi="Times New Roman" w:cs="Times New Roman"/>
          <w:sz w:val="24"/>
          <w:szCs w:val="24"/>
        </w:rPr>
        <w:t>Frankenberry</w:t>
      </w:r>
      <w:proofErr w:type="spellEnd"/>
      <w:r>
        <w:rPr>
          <w:rFonts w:ascii="Times New Roman" w:eastAsia="Times New Roman" w:hAnsi="Times New Roman" w:cs="Times New Roman"/>
          <w:sz w:val="24"/>
          <w:szCs w:val="24"/>
        </w:rPr>
        <w:t xml:space="preserve"> advocated for an understanding of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as "aestheticizing spirituality” and seeing </w:t>
      </w:r>
      <w:proofErr w:type="spellStart"/>
      <w:r>
        <w:rPr>
          <w:rFonts w:ascii="Times New Roman" w:eastAsia="Times New Roman" w:hAnsi="Times New Roman" w:cs="Times New Roman"/>
          <w:sz w:val="24"/>
          <w:szCs w:val="24"/>
        </w:rPr>
        <w:t>Rorty’s</w:t>
      </w:r>
      <w:proofErr w:type="spellEnd"/>
      <w:r>
        <w:rPr>
          <w:rFonts w:ascii="Times New Roman" w:eastAsia="Times New Roman" w:hAnsi="Times New Roman" w:cs="Times New Roman"/>
          <w:sz w:val="24"/>
          <w:szCs w:val="24"/>
        </w:rPr>
        <w:t xml:space="preserve"> significant contribution to religious studies nonreligious and “a-theological” spirituality. </w:t>
      </w:r>
    </w:p>
    <w:p w14:paraId="00000018" w14:textId="77777777" w:rsidR="00C1236C" w:rsidRDefault="00C1236C">
      <w:pPr>
        <w:rPr>
          <w:rFonts w:ascii="Times New Roman" w:eastAsia="Times New Roman" w:hAnsi="Times New Roman" w:cs="Times New Roman"/>
          <w:sz w:val="24"/>
          <w:szCs w:val="24"/>
        </w:rPr>
      </w:pPr>
    </w:p>
    <w:p w14:paraId="00000019"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Stout, Jeffrey. “Radical Interpretation and Pragmatism: Davidson,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Brandom</w:t>
      </w:r>
      <w:proofErr w:type="spellEnd"/>
      <w:r>
        <w:rPr>
          <w:rFonts w:ascii="Times New Roman" w:eastAsia="Times New Roman" w:hAnsi="Times New Roman" w:cs="Times New Roman"/>
          <w:sz w:val="24"/>
          <w:szCs w:val="24"/>
        </w:rPr>
        <w:t xml:space="preserve"> on Truth.” Chapter. In </w:t>
      </w:r>
      <w:r>
        <w:rPr>
          <w:rFonts w:ascii="Times New Roman" w:eastAsia="Times New Roman" w:hAnsi="Times New Roman" w:cs="Times New Roman"/>
          <w:i/>
          <w:sz w:val="24"/>
          <w:szCs w:val="24"/>
        </w:rPr>
        <w:t>Radical Interpretation in Religion</w:t>
      </w:r>
      <w:r>
        <w:rPr>
          <w:rFonts w:ascii="Times New Roman" w:eastAsia="Times New Roman" w:hAnsi="Times New Roman" w:cs="Times New Roman"/>
          <w:sz w:val="24"/>
          <w:szCs w:val="24"/>
        </w:rPr>
        <w:t xml:space="preserve">, edited by Nancy K. </w:t>
      </w:r>
      <w:proofErr w:type="spellStart"/>
      <w:r>
        <w:rPr>
          <w:rFonts w:ascii="Times New Roman" w:eastAsia="Times New Roman" w:hAnsi="Times New Roman" w:cs="Times New Roman"/>
          <w:sz w:val="24"/>
          <w:szCs w:val="24"/>
        </w:rPr>
        <w:t>Frankenberry</w:t>
      </w:r>
      <w:proofErr w:type="spellEnd"/>
      <w:r>
        <w:rPr>
          <w:rFonts w:ascii="Times New Roman" w:eastAsia="Times New Roman" w:hAnsi="Times New Roman" w:cs="Times New Roman"/>
          <w:sz w:val="24"/>
          <w:szCs w:val="24"/>
        </w:rPr>
        <w:t>, 25–52. Cambridge: Cambridge University Press, 2002.</w:t>
      </w:r>
    </w:p>
    <w:p w14:paraId="0000001A"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paper discusses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in relation to </w:t>
      </w:r>
      <w:proofErr w:type="spellStart"/>
      <w:r>
        <w:rPr>
          <w:rFonts w:ascii="Times New Roman" w:eastAsia="Times New Roman" w:hAnsi="Times New Roman" w:cs="Times New Roman"/>
          <w:sz w:val="24"/>
          <w:szCs w:val="24"/>
        </w:rPr>
        <w:t>Brandom</w:t>
      </w:r>
      <w:proofErr w:type="spellEnd"/>
      <w:r>
        <w:rPr>
          <w:rFonts w:ascii="Times New Roman" w:eastAsia="Times New Roman" w:hAnsi="Times New Roman" w:cs="Times New Roman"/>
          <w:sz w:val="24"/>
          <w:szCs w:val="24"/>
        </w:rPr>
        <w:t xml:space="preserve"> and Davidson. Sections discuss </w:t>
      </w:r>
      <w:proofErr w:type="spellStart"/>
      <w:r>
        <w:rPr>
          <w:rFonts w:ascii="Times New Roman" w:eastAsia="Times New Roman" w:hAnsi="Times New Roman" w:cs="Times New Roman"/>
          <w:sz w:val="24"/>
          <w:szCs w:val="24"/>
        </w:rPr>
        <w:t>Rorty’s</w:t>
      </w:r>
      <w:proofErr w:type="spellEnd"/>
      <w:r>
        <w:rPr>
          <w:rFonts w:ascii="Times New Roman" w:eastAsia="Times New Roman" w:hAnsi="Times New Roman" w:cs="Times New Roman"/>
          <w:sz w:val="24"/>
          <w:szCs w:val="24"/>
        </w:rPr>
        <w:t xml:space="preserve"> position of “justification” and “truth”. Stout sees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as saying “truth” and “justification” work differently in some contexts and that one can use these terms without committing oneself to a metaphysical picture. </w:t>
      </w:r>
    </w:p>
    <w:p w14:paraId="0000001B" w14:textId="77777777" w:rsidR="00C1236C" w:rsidRDefault="00C1236C">
      <w:pPr>
        <w:rPr>
          <w:rFonts w:ascii="Times New Roman" w:eastAsia="Times New Roman" w:hAnsi="Times New Roman" w:cs="Times New Roman"/>
          <w:sz w:val="24"/>
          <w:szCs w:val="24"/>
        </w:rPr>
      </w:pPr>
    </w:p>
    <w:p w14:paraId="0000001C"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Bush, Stephen S.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on Religion.” Chapter. In </w:t>
      </w:r>
      <w:r>
        <w:rPr>
          <w:rFonts w:ascii="Times New Roman" w:eastAsia="Times New Roman" w:hAnsi="Times New Roman" w:cs="Times New Roman"/>
          <w:i/>
          <w:sz w:val="24"/>
          <w:szCs w:val="24"/>
        </w:rPr>
        <w:t xml:space="preserve">The Cambridge Companion to </w:t>
      </w:r>
      <w:proofErr w:type="spellStart"/>
      <w:r>
        <w:rPr>
          <w:rFonts w:ascii="Times New Roman" w:eastAsia="Times New Roman" w:hAnsi="Times New Roman" w:cs="Times New Roman"/>
          <w:i/>
          <w:sz w:val="24"/>
          <w:szCs w:val="24"/>
        </w:rPr>
        <w:t>Rorty</w:t>
      </w:r>
      <w:proofErr w:type="spellEnd"/>
      <w:r>
        <w:rPr>
          <w:rFonts w:ascii="Times New Roman" w:eastAsia="Times New Roman" w:hAnsi="Times New Roman" w:cs="Times New Roman"/>
          <w:sz w:val="24"/>
          <w:szCs w:val="24"/>
        </w:rPr>
        <w:t>, edited by David Rondel, 243–60. Cambridge Companions to Philosophy. Cambridge: Cambridge University Press, 2021.</w:t>
      </w:r>
    </w:p>
    <w:p w14:paraId="0000001D" w14:textId="77777777" w:rsidR="00C1236C" w:rsidRDefault="00CD103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chapter that discusses </w:t>
      </w:r>
      <w:proofErr w:type="spellStart"/>
      <w:r>
        <w:rPr>
          <w:rFonts w:ascii="Times New Roman" w:eastAsia="Times New Roman" w:hAnsi="Times New Roman" w:cs="Times New Roman"/>
          <w:sz w:val="24"/>
          <w:szCs w:val="24"/>
        </w:rPr>
        <w:t>Rorty’s</w:t>
      </w:r>
      <w:proofErr w:type="spellEnd"/>
      <w:r>
        <w:rPr>
          <w:rFonts w:ascii="Times New Roman" w:eastAsia="Times New Roman" w:hAnsi="Times New Roman" w:cs="Times New Roman"/>
          <w:sz w:val="24"/>
          <w:szCs w:val="24"/>
        </w:rPr>
        <w:t xml:space="preserve"> understanding of religion as “cultural politics.” Discusses </w:t>
      </w:r>
      <w:proofErr w:type="spellStart"/>
      <w:r>
        <w:rPr>
          <w:rFonts w:ascii="Times New Roman" w:eastAsia="Times New Roman" w:hAnsi="Times New Roman" w:cs="Times New Roman"/>
          <w:sz w:val="24"/>
          <w:szCs w:val="24"/>
        </w:rPr>
        <w:t>Rorty’s</w:t>
      </w:r>
      <w:proofErr w:type="spellEnd"/>
      <w:r>
        <w:rPr>
          <w:rFonts w:ascii="Times New Roman" w:eastAsia="Times New Roman" w:hAnsi="Times New Roman" w:cs="Times New Roman"/>
          <w:sz w:val="24"/>
          <w:szCs w:val="24"/>
        </w:rPr>
        <w:t xml:space="preserve"> position that religion should be viewed as private and that questions should be asked about its contribution to human flourishing rather than about its religious beliefs. It also covers how </w:t>
      </w:r>
      <w:proofErr w:type="spellStart"/>
      <w:r>
        <w:rPr>
          <w:rFonts w:ascii="Times New Roman" w:eastAsia="Times New Roman" w:hAnsi="Times New Roman" w:cs="Times New Roman"/>
          <w:sz w:val="24"/>
          <w:szCs w:val="24"/>
        </w:rPr>
        <w:t>Rorty</w:t>
      </w:r>
      <w:proofErr w:type="spellEnd"/>
      <w:r>
        <w:rPr>
          <w:rFonts w:ascii="Times New Roman" w:eastAsia="Times New Roman" w:hAnsi="Times New Roman" w:cs="Times New Roman"/>
          <w:sz w:val="24"/>
          <w:szCs w:val="24"/>
        </w:rPr>
        <w:t xml:space="preserve"> views religions' place in politics.</w:t>
      </w:r>
    </w:p>
    <w:p w14:paraId="0000001E" w14:textId="77777777" w:rsidR="00C1236C" w:rsidRDefault="00C1236C">
      <w:pPr>
        <w:rPr>
          <w:rFonts w:ascii="Times New Roman" w:eastAsia="Times New Roman" w:hAnsi="Times New Roman" w:cs="Times New Roman"/>
          <w:sz w:val="24"/>
          <w:szCs w:val="24"/>
        </w:rPr>
      </w:pPr>
    </w:p>
    <w:p w14:paraId="0000001F" w14:textId="77777777" w:rsidR="00C1236C" w:rsidRDefault="00C1236C">
      <w:pPr>
        <w:rPr>
          <w:rFonts w:ascii="Times New Roman" w:eastAsia="Times New Roman" w:hAnsi="Times New Roman" w:cs="Times New Roman"/>
          <w:sz w:val="24"/>
          <w:szCs w:val="24"/>
        </w:rPr>
      </w:pPr>
    </w:p>
    <w:sectPr w:rsidR="00C1236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D77AD1"/>
    <w:multiLevelType w:val="multilevel"/>
    <w:tmpl w:val="EBFCE2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28449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36C"/>
    <w:rsid w:val="005955F4"/>
    <w:rsid w:val="00C1236C"/>
    <w:rsid w:val="00CD1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78570617-BC01-B445-9BD9-B6285ECBD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m.calderwood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806</Words>
  <Characters>4596</Characters>
  <Application>Microsoft Office Word</Application>
  <DocSecurity>0</DocSecurity>
  <Lines>38</Lines>
  <Paragraphs>10</Paragraphs>
  <ScaleCrop>false</ScaleCrop>
  <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Merinda Simmons</cp:lastModifiedBy>
  <cp:revision>2</cp:revision>
  <dcterms:created xsi:type="dcterms:W3CDTF">2025-10-20T19:10:00Z</dcterms:created>
  <dcterms:modified xsi:type="dcterms:W3CDTF">2025-10-20T19:10:00Z</dcterms:modified>
</cp:coreProperties>
</file>