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4AE7A" w14:textId="464FCE44" w:rsidR="0067571D" w:rsidRDefault="0067571D" w:rsidP="0067571D">
      <w:pPr>
        <w:rPr>
          <w:b/>
          <w:bCs/>
        </w:rPr>
      </w:pPr>
      <w:r w:rsidRPr="0067571D">
        <w:rPr>
          <w:b/>
          <w:bCs/>
        </w:rPr>
        <w:t>NAASR Interlocutions II: The Extra/Ordinary</w:t>
      </w:r>
      <w:r>
        <w:rPr>
          <w:b/>
          <w:bCs/>
        </w:rPr>
        <w:br/>
        <w:t>Nov. 21</w:t>
      </w:r>
      <w:r>
        <w:rPr>
          <w:b/>
          <w:bCs/>
        </w:rPr>
        <w:br/>
      </w:r>
      <w:r w:rsidRPr="0067571D">
        <w:rPr>
          <w:b/>
          <w:bCs/>
        </w:rPr>
        <w:t>Unsettling Settlement: The Ordinary Monstrosity of Encampment in Lawrence, KS, 1870 – present,” Rachel Schwaller (publication name: Rachel E. C. Beckley), University of Kansas</w:t>
      </w:r>
    </w:p>
    <w:p w14:paraId="5D0BA757" w14:textId="77777777" w:rsidR="00401EB4" w:rsidRDefault="00401EB4" w:rsidP="0067571D">
      <w:pPr>
        <w:rPr>
          <w:b/>
          <w:bCs/>
        </w:rPr>
      </w:pPr>
    </w:p>
    <w:p w14:paraId="2D6800F1" w14:textId="739BA717" w:rsidR="0067571D" w:rsidRDefault="0067571D" w:rsidP="0067571D">
      <w:pPr>
        <w:rPr>
          <w:b/>
          <w:bCs/>
          <w:u w:val="single"/>
        </w:rPr>
      </w:pPr>
      <w:r w:rsidRPr="0067571D">
        <w:rPr>
          <w:b/>
          <w:bCs/>
          <w:u w:val="single"/>
        </w:rPr>
        <w:t>Outline of Key ideas/Takeaways</w:t>
      </w:r>
    </w:p>
    <w:p w14:paraId="0F8A8F01" w14:textId="789D1919" w:rsidR="0067571D" w:rsidRPr="0067571D" w:rsidRDefault="0067571D" w:rsidP="0067571D">
      <w:pPr>
        <w:pStyle w:val="ListParagraph"/>
        <w:numPr>
          <w:ilvl w:val="0"/>
          <w:numId w:val="1"/>
        </w:numPr>
        <w:rPr>
          <w:b/>
          <w:bCs/>
        </w:rPr>
      </w:pPr>
      <w:r>
        <w:t>Far from an objective state of being, “settlement” was/is a performance</w:t>
      </w:r>
    </w:p>
    <w:p w14:paraId="392D8C8D" w14:textId="0AA40EC1" w:rsidR="0067571D" w:rsidRPr="0067571D" w:rsidRDefault="0067571D" w:rsidP="0067571D">
      <w:pPr>
        <w:pStyle w:val="ListParagraph"/>
        <w:numPr>
          <w:ilvl w:val="1"/>
          <w:numId w:val="1"/>
        </w:numPr>
        <w:rPr>
          <w:b/>
          <w:bCs/>
        </w:rPr>
      </w:pPr>
      <w:r>
        <w:t>“settlement” as a normative habitus; based on performance</w:t>
      </w:r>
      <w:r w:rsidR="00401EB4">
        <w:t xml:space="preserve">; settlement and what it “should” look like becomes a </w:t>
      </w:r>
      <w:r w:rsidR="00401EB4">
        <w:rPr>
          <w:i/>
          <w:iCs/>
        </w:rPr>
        <w:t xml:space="preserve">doxa </w:t>
      </w:r>
      <w:r w:rsidR="00401EB4">
        <w:t>for U.S. western culture</w:t>
      </w:r>
      <w:r w:rsidR="001D7183">
        <w:t xml:space="preserve">—“ordinary” “banal” and “necessary” to be considered “civilized.” </w:t>
      </w:r>
    </w:p>
    <w:p w14:paraId="08B125F9" w14:textId="1C809724" w:rsidR="0067571D" w:rsidRPr="0067571D" w:rsidRDefault="001D7183" w:rsidP="0067571D">
      <w:pPr>
        <w:pStyle w:val="ListParagraph"/>
        <w:numPr>
          <w:ilvl w:val="1"/>
          <w:numId w:val="1"/>
        </w:numPr>
        <w:rPr>
          <w:b/>
          <w:bCs/>
        </w:rPr>
      </w:pPr>
      <w:r>
        <w:t>Settlement as an i</w:t>
      </w:r>
      <w:r w:rsidR="0067571D">
        <w:t>terative ac</w:t>
      </w:r>
      <w:r>
        <w:t>t, a la Butler</w:t>
      </w:r>
    </w:p>
    <w:p w14:paraId="3BA5C119" w14:textId="1DAB2509" w:rsidR="0067571D" w:rsidRPr="0067571D" w:rsidRDefault="0067571D" w:rsidP="0067571D">
      <w:pPr>
        <w:pStyle w:val="ListParagraph"/>
        <w:numPr>
          <w:ilvl w:val="0"/>
          <w:numId w:val="1"/>
        </w:numPr>
        <w:rPr>
          <w:b/>
          <w:bCs/>
        </w:rPr>
      </w:pPr>
      <w:r>
        <w:t>Settlement as iteratively performed by white colonizers in U.S.’s west was religiously inflected</w:t>
      </w:r>
    </w:p>
    <w:p w14:paraId="0AD172AB" w14:textId="0C6811C9" w:rsidR="0067571D" w:rsidRPr="0067571D" w:rsidRDefault="0067571D" w:rsidP="0067571D">
      <w:pPr>
        <w:pStyle w:val="ListParagraph"/>
        <w:numPr>
          <w:ilvl w:val="1"/>
          <w:numId w:val="1"/>
        </w:numPr>
        <w:rPr>
          <w:b/>
          <w:bCs/>
        </w:rPr>
      </w:pPr>
      <w:r>
        <w:t>Settlement as “script-ed” and “script-</w:t>
      </w:r>
      <w:proofErr w:type="spellStart"/>
      <w:r>
        <w:t>ing</w:t>
      </w:r>
      <w:proofErr w:type="spellEnd"/>
      <w:r>
        <w:t>”, see Wimbush</w:t>
      </w:r>
    </w:p>
    <w:p w14:paraId="621FE4ED" w14:textId="174AB924" w:rsidR="0067571D" w:rsidRPr="0067571D" w:rsidRDefault="0067571D" w:rsidP="0067571D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Protestant Christianity and settlement were dialogically interconnected, co-creating one another. </w:t>
      </w:r>
    </w:p>
    <w:p w14:paraId="11A10FCD" w14:textId="78A9F702" w:rsidR="0067571D" w:rsidRPr="0067571D" w:rsidRDefault="0067571D" w:rsidP="0067571D">
      <w:pPr>
        <w:pStyle w:val="ListParagraph"/>
        <w:numPr>
          <w:ilvl w:val="1"/>
          <w:numId w:val="1"/>
        </w:numPr>
        <w:rPr>
          <w:b/>
          <w:bCs/>
        </w:rPr>
      </w:pPr>
      <w:r>
        <w:t>Leads to very particular expectations of settlement as taming/controlling of “wild-ness”; as extractive of the land and resources</w:t>
      </w:r>
    </w:p>
    <w:p w14:paraId="68CD9635" w14:textId="19202137" w:rsidR="0067571D" w:rsidRPr="0067571D" w:rsidRDefault="0067571D" w:rsidP="0067571D">
      <w:pPr>
        <w:pStyle w:val="ListParagraph"/>
        <w:numPr>
          <w:ilvl w:val="1"/>
          <w:numId w:val="1"/>
        </w:numPr>
        <w:rPr>
          <w:b/>
          <w:bCs/>
        </w:rPr>
      </w:pPr>
      <w:r>
        <w:t>Settlement as pioneering “protestant Christian civilization” in the otherwise wild and untamed west</w:t>
      </w:r>
    </w:p>
    <w:p w14:paraId="1769BA26" w14:textId="63E6AFF8" w:rsidR="001D7183" w:rsidRPr="001D7183" w:rsidRDefault="0067571D" w:rsidP="00401EB4">
      <w:pPr>
        <w:pStyle w:val="ListParagraph"/>
        <w:numPr>
          <w:ilvl w:val="0"/>
          <w:numId w:val="1"/>
        </w:numPr>
        <w:rPr>
          <w:b/>
          <w:bCs/>
        </w:rPr>
      </w:pPr>
      <w:r>
        <w:t>Alternative forms of settlement</w:t>
      </w:r>
      <w:r w:rsidR="001D7183">
        <w:t xml:space="preserve"> are considered a “crisis” even as they have been a norm</w:t>
      </w:r>
    </w:p>
    <w:p w14:paraId="637D6DAE" w14:textId="779E867B" w:rsidR="001D7183" w:rsidRPr="001D7183" w:rsidRDefault="001D7183" w:rsidP="001D7183">
      <w:pPr>
        <w:pStyle w:val="ListParagraph"/>
        <w:numPr>
          <w:ilvl w:val="1"/>
          <w:numId w:val="1"/>
        </w:numPr>
        <w:rPr>
          <w:b/>
          <w:bCs/>
        </w:rPr>
      </w:pPr>
      <w:r>
        <w:t>From language in the 1800 – 1900s of pauperism as abnormal, extraordinary and dangerous; inappropriate usage of “pauperism” to describe Indigenous and Black and later Hispanic communities in the West</w:t>
      </w:r>
    </w:p>
    <w:p w14:paraId="093B54E3" w14:textId="36F86878" w:rsidR="001D7183" w:rsidRPr="001D7183" w:rsidRDefault="001D7183" w:rsidP="001D7183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To language in 1930s of </w:t>
      </w:r>
      <w:proofErr w:type="spellStart"/>
      <w:r>
        <w:t>Hoovertowns</w:t>
      </w:r>
      <w:proofErr w:type="spellEnd"/>
      <w:r>
        <w:t>—crisis and a “new norm”</w:t>
      </w:r>
    </w:p>
    <w:p w14:paraId="2C1A1B85" w14:textId="0DEEFECB" w:rsidR="001D7183" w:rsidRPr="001D7183" w:rsidRDefault="001D7183" w:rsidP="001D7183">
      <w:pPr>
        <w:pStyle w:val="ListParagraph"/>
        <w:numPr>
          <w:ilvl w:val="1"/>
          <w:numId w:val="1"/>
        </w:numPr>
        <w:rPr>
          <w:b/>
          <w:bCs/>
        </w:rPr>
      </w:pPr>
      <w:r>
        <w:t>To language post-Reagan to today of the crisis of homelessness</w:t>
      </w:r>
    </w:p>
    <w:p w14:paraId="0C3FF0C6" w14:textId="22795273" w:rsidR="00401EB4" w:rsidRPr="00401EB4" w:rsidRDefault="001D7183" w:rsidP="001D7183">
      <w:pPr>
        <w:pStyle w:val="ListParagraph"/>
        <w:numPr>
          <w:ilvl w:val="1"/>
          <w:numId w:val="1"/>
        </w:numPr>
        <w:rPr>
          <w:b/>
          <w:bCs/>
        </w:rPr>
      </w:pPr>
      <w:r>
        <w:t>Alternative forms of settlement did not</w:t>
      </w:r>
      <w:r w:rsidR="00401EB4">
        <w:t xml:space="preserve"> go away and they look different from dominant cultural expectations. For example, they may:</w:t>
      </w:r>
    </w:p>
    <w:p w14:paraId="4469D29F" w14:textId="365CB9FD" w:rsidR="00401EB4" w:rsidRPr="00401EB4" w:rsidRDefault="00401EB4" w:rsidP="001D7183">
      <w:pPr>
        <w:pStyle w:val="ListParagraph"/>
        <w:numPr>
          <w:ilvl w:val="2"/>
          <w:numId w:val="1"/>
        </w:numPr>
        <w:rPr>
          <w:b/>
          <w:bCs/>
        </w:rPr>
      </w:pPr>
      <w:r>
        <w:t>Use alternative ways of living in and with the land</w:t>
      </w:r>
    </w:p>
    <w:p w14:paraId="2F399792" w14:textId="08232940" w:rsidR="00401EB4" w:rsidRPr="00401EB4" w:rsidRDefault="00401EB4" w:rsidP="001D7183">
      <w:pPr>
        <w:pStyle w:val="ListParagraph"/>
        <w:numPr>
          <w:ilvl w:val="2"/>
          <w:numId w:val="1"/>
        </w:numPr>
        <w:rPr>
          <w:b/>
          <w:bCs/>
        </w:rPr>
      </w:pPr>
      <w:r>
        <w:t>Often settlement strategies performed by non-white people groups</w:t>
      </w:r>
    </w:p>
    <w:p w14:paraId="2ED35EA0" w14:textId="402A342F" w:rsidR="00401EB4" w:rsidRPr="00401EB4" w:rsidRDefault="00401EB4" w:rsidP="001D7183">
      <w:pPr>
        <w:pStyle w:val="ListParagraph"/>
        <w:numPr>
          <w:ilvl w:val="2"/>
          <w:numId w:val="1"/>
        </w:numPr>
        <w:rPr>
          <w:b/>
          <w:bCs/>
        </w:rPr>
      </w:pPr>
      <w:r>
        <w:t>Alternative views of kinship</w:t>
      </w:r>
    </w:p>
    <w:p w14:paraId="597BB96C" w14:textId="62B0FE2F" w:rsidR="00401EB4" w:rsidRPr="00401EB4" w:rsidRDefault="00401EB4" w:rsidP="00401EB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These alternative forms of settlement were seen as a monstrous opposite to “appropriate” settlement. </w:t>
      </w:r>
    </w:p>
    <w:p w14:paraId="13D5759C" w14:textId="3ADC493C" w:rsidR="00401EB4" w:rsidRPr="00401EB4" w:rsidRDefault="00401EB4" w:rsidP="00401EB4">
      <w:pPr>
        <w:pStyle w:val="ListParagraph"/>
        <w:numPr>
          <w:ilvl w:val="1"/>
          <w:numId w:val="1"/>
        </w:numPr>
        <w:rPr>
          <w:b/>
          <w:bCs/>
        </w:rPr>
      </w:pPr>
      <w:r>
        <w:t>Uses monstrosity</w:t>
      </w:r>
    </w:p>
    <w:p w14:paraId="7F62E730" w14:textId="400A081A" w:rsidR="00401EB4" w:rsidRPr="00401EB4" w:rsidRDefault="00401EB4" w:rsidP="00401EB4">
      <w:pPr>
        <w:pStyle w:val="ListParagraph"/>
        <w:numPr>
          <w:ilvl w:val="1"/>
          <w:numId w:val="1"/>
        </w:numPr>
        <w:rPr>
          <w:b/>
          <w:bCs/>
        </w:rPr>
      </w:pPr>
      <w:r>
        <w:lastRenderedPageBreak/>
        <w:t xml:space="preserve">Settlement as a form of “fugitive knowledge” that protects other ways of being and knowing in a dominant western, white, patriarchal, colonial society. </w:t>
      </w:r>
    </w:p>
    <w:p w14:paraId="11139271" w14:textId="20A9C9F8" w:rsidR="00401EB4" w:rsidRPr="00401EB4" w:rsidRDefault="00401EB4" w:rsidP="00401EB4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Ethnography enlivens the archive, allowing us to counter bifurcated language of “ordinary/extraordinary”, “rich/poor”, “dangerous/safe”, “clean/unclean”, “sick/well”, </w:t>
      </w:r>
      <w:proofErr w:type="spellStart"/>
      <w:r>
        <w:t>etc</w:t>
      </w:r>
      <w:proofErr w:type="spellEnd"/>
      <w:r>
        <w:t xml:space="preserve"> etc. </w:t>
      </w:r>
    </w:p>
    <w:p w14:paraId="2333422A" w14:textId="77777777" w:rsidR="00401EB4" w:rsidRPr="00401EB4" w:rsidRDefault="00401EB4" w:rsidP="00401EB4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Examples since the 1800s to the present of how these alternative communities produced underground economies, supportive kin-based environments, and other ways of settling the land </w:t>
      </w:r>
    </w:p>
    <w:p w14:paraId="5CA73FD5" w14:textId="3794C103" w:rsidR="00401EB4" w:rsidRPr="0067571D" w:rsidRDefault="00401EB4" w:rsidP="00401EB4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Caveat: this does </w:t>
      </w:r>
      <w:r>
        <w:rPr>
          <w:i/>
          <w:iCs/>
        </w:rPr>
        <w:t xml:space="preserve">not </w:t>
      </w:r>
      <w:r>
        <w:t xml:space="preserve">mean that all these ways of settling were/are healthy or safe. This presentation should </w:t>
      </w:r>
      <w:r>
        <w:rPr>
          <w:i/>
          <w:iCs/>
        </w:rPr>
        <w:t xml:space="preserve">not </w:t>
      </w:r>
      <w:r>
        <w:t>be read as a way of idealizing these communities. They were and continue to be sites of trauma and violence, often formed as a direct result of oppression and exclusion. This presentation only takes seriously that complex communities are still created even in what is widely considered “un”-settled spaces.</w:t>
      </w:r>
    </w:p>
    <w:p w14:paraId="3FB3D61F" w14:textId="77777777" w:rsidR="001D7183" w:rsidRDefault="001D7183">
      <w:pPr>
        <w:rPr>
          <w:b/>
          <w:bCs/>
          <w:u w:val="single"/>
        </w:rPr>
      </w:pPr>
    </w:p>
    <w:p w14:paraId="7ECCC537" w14:textId="77777777" w:rsidR="001D7183" w:rsidRDefault="001D7183">
      <w:pPr>
        <w:rPr>
          <w:b/>
          <w:bCs/>
          <w:u w:val="single"/>
        </w:rPr>
      </w:pPr>
    </w:p>
    <w:p w14:paraId="4E31A719" w14:textId="77777777" w:rsidR="001D7183" w:rsidRDefault="001D7183">
      <w:pPr>
        <w:rPr>
          <w:b/>
          <w:bCs/>
          <w:u w:val="single"/>
        </w:rPr>
      </w:pPr>
    </w:p>
    <w:p w14:paraId="0FF704EA" w14:textId="77777777" w:rsidR="001D7183" w:rsidRDefault="001D7183">
      <w:pPr>
        <w:rPr>
          <w:b/>
          <w:bCs/>
          <w:u w:val="single"/>
        </w:rPr>
      </w:pPr>
    </w:p>
    <w:p w14:paraId="766C13B9" w14:textId="77777777" w:rsidR="001D7183" w:rsidRDefault="001D7183">
      <w:pPr>
        <w:rPr>
          <w:b/>
          <w:bCs/>
          <w:u w:val="single"/>
        </w:rPr>
      </w:pPr>
    </w:p>
    <w:p w14:paraId="756DD767" w14:textId="77777777" w:rsidR="001D7183" w:rsidRDefault="001D7183">
      <w:pPr>
        <w:rPr>
          <w:b/>
          <w:bCs/>
          <w:u w:val="single"/>
        </w:rPr>
      </w:pPr>
    </w:p>
    <w:p w14:paraId="62085AC7" w14:textId="77777777" w:rsidR="001D7183" w:rsidRDefault="001D7183">
      <w:pPr>
        <w:rPr>
          <w:b/>
          <w:bCs/>
          <w:u w:val="single"/>
        </w:rPr>
      </w:pPr>
    </w:p>
    <w:p w14:paraId="1C3A0090" w14:textId="77777777" w:rsidR="001D7183" w:rsidRDefault="001D7183">
      <w:pPr>
        <w:rPr>
          <w:b/>
          <w:bCs/>
          <w:u w:val="single"/>
        </w:rPr>
      </w:pPr>
    </w:p>
    <w:p w14:paraId="0BF47C8E" w14:textId="77777777" w:rsidR="001D7183" w:rsidRDefault="001D7183">
      <w:pPr>
        <w:rPr>
          <w:b/>
          <w:bCs/>
          <w:u w:val="single"/>
        </w:rPr>
      </w:pPr>
    </w:p>
    <w:p w14:paraId="67394D58" w14:textId="77777777" w:rsidR="001D7183" w:rsidRDefault="001D7183">
      <w:pPr>
        <w:rPr>
          <w:b/>
          <w:bCs/>
          <w:u w:val="single"/>
        </w:rPr>
      </w:pPr>
    </w:p>
    <w:p w14:paraId="239E8DE2" w14:textId="77777777" w:rsidR="001D7183" w:rsidRDefault="001D7183">
      <w:pPr>
        <w:rPr>
          <w:b/>
          <w:bCs/>
          <w:u w:val="single"/>
        </w:rPr>
      </w:pPr>
    </w:p>
    <w:p w14:paraId="1F234AAE" w14:textId="77777777" w:rsidR="001D7183" w:rsidRDefault="001D7183">
      <w:pPr>
        <w:rPr>
          <w:b/>
          <w:bCs/>
          <w:u w:val="single"/>
        </w:rPr>
      </w:pPr>
    </w:p>
    <w:p w14:paraId="7070F42D" w14:textId="77777777" w:rsidR="001D7183" w:rsidRDefault="001D7183">
      <w:pPr>
        <w:rPr>
          <w:b/>
          <w:bCs/>
          <w:u w:val="single"/>
        </w:rPr>
      </w:pPr>
    </w:p>
    <w:p w14:paraId="15532FA2" w14:textId="77777777" w:rsidR="001D7183" w:rsidRDefault="001D7183">
      <w:pPr>
        <w:rPr>
          <w:b/>
          <w:bCs/>
          <w:u w:val="single"/>
        </w:rPr>
      </w:pPr>
    </w:p>
    <w:p w14:paraId="2D6AC3E8" w14:textId="77777777" w:rsidR="001D7183" w:rsidRDefault="001D7183">
      <w:pPr>
        <w:rPr>
          <w:b/>
          <w:bCs/>
          <w:u w:val="single"/>
        </w:rPr>
      </w:pPr>
    </w:p>
    <w:p w14:paraId="2721A460" w14:textId="463446F3" w:rsidR="0067571D" w:rsidRDefault="0067571D">
      <w:pPr>
        <w:rPr>
          <w:b/>
          <w:bCs/>
          <w:u w:val="single"/>
        </w:rPr>
      </w:pPr>
      <w:r w:rsidRPr="0067571D">
        <w:rPr>
          <w:b/>
          <w:bCs/>
          <w:u w:val="single"/>
        </w:rPr>
        <w:lastRenderedPageBreak/>
        <w:t xml:space="preserve">Brief </w:t>
      </w:r>
      <w:r w:rsidR="00FD0DC7">
        <w:rPr>
          <w:b/>
          <w:bCs/>
          <w:u w:val="single"/>
        </w:rPr>
        <w:t xml:space="preserve">Secondary Source </w:t>
      </w:r>
      <w:r w:rsidRPr="0067571D">
        <w:rPr>
          <w:b/>
          <w:bCs/>
          <w:u w:val="single"/>
        </w:rPr>
        <w:t>Bib</w:t>
      </w:r>
    </w:p>
    <w:p w14:paraId="24878E45" w14:textId="470579D2" w:rsidR="00711798" w:rsidRDefault="00711798">
      <w:pPr>
        <w:rPr>
          <w:i/>
          <w:iCs/>
          <w:u w:val="single"/>
        </w:rPr>
      </w:pPr>
      <w:r>
        <w:rPr>
          <w:u w:val="single"/>
        </w:rPr>
        <w:t>Theory</w:t>
      </w:r>
    </w:p>
    <w:p w14:paraId="4DBAF2A2" w14:textId="2A33B54E" w:rsidR="00D770F9" w:rsidRPr="00E47A9D" w:rsidRDefault="00D770F9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Ahmed, Sara. </w:t>
      </w:r>
      <w:r w:rsidRPr="00E47A9D">
        <w:rPr>
          <w:i/>
          <w:iCs/>
          <w:sz w:val="20"/>
          <w:szCs w:val="20"/>
        </w:rPr>
        <w:t xml:space="preserve">Strange Encounters: Embodied Others in Post-Coloniality. </w:t>
      </w:r>
      <w:r w:rsidRPr="00E47A9D">
        <w:rPr>
          <w:sz w:val="20"/>
          <w:szCs w:val="20"/>
        </w:rPr>
        <w:t xml:space="preserve">New York: Routledge. 2000. </w:t>
      </w:r>
    </w:p>
    <w:p w14:paraId="1F6468AA" w14:textId="0FEE8D99" w:rsidR="00D770F9" w:rsidRPr="00E47A9D" w:rsidRDefault="00D770F9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Akomolafe, Bayo and Alnoor Ladha. “Perverse particles, entangled monsters and psychedelic pilgrimages: Emergence as an onto-epistemology of not-knowing.” </w:t>
      </w:r>
      <w:r w:rsidRPr="00E47A9D">
        <w:rPr>
          <w:i/>
          <w:iCs/>
          <w:sz w:val="20"/>
          <w:szCs w:val="20"/>
        </w:rPr>
        <w:t xml:space="preserve">Ephemera </w:t>
      </w:r>
      <w:r w:rsidRPr="00E47A9D">
        <w:rPr>
          <w:sz w:val="20"/>
          <w:szCs w:val="20"/>
        </w:rPr>
        <w:t xml:space="preserve">17.4 (2017): 819-839. </w:t>
      </w:r>
    </w:p>
    <w:p w14:paraId="6DB75CED" w14:textId="170EEF4F" w:rsidR="00D770F9" w:rsidRPr="00E47A9D" w:rsidRDefault="00D770F9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Bakhtin, M.M. </w:t>
      </w:r>
      <w:r w:rsidRPr="00E47A9D">
        <w:rPr>
          <w:i/>
          <w:iCs/>
          <w:sz w:val="20"/>
          <w:szCs w:val="20"/>
        </w:rPr>
        <w:t xml:space="preserve">The Dialogic Imagination. </w:t>
      </w:r>
      <w:r w:rsidRPr="00E47A9D">
        <w:rPr>
          <w:sz w:val="20"/>
          <w:szCs w:val="20"/>
        </w:rPr>
        <w:t xml:space="preserve">Edited by Michael Holquist, Translated by Caryl Emerson and Michael Holquist. Austin: University of Texas Press. 1981. </w:t>
      </w:r>
    </w:p>
    <w:p w14:paraId="51B3D08A" w14:textId="1CBF3094" w:rsidR="00D770F9" w:rsidRPr="00E47A9D" w:rsidRDefault="00711798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Haraway, Donna. “The Promises of Monsters: A Regenerative Politics for Inappropriate/d Others.” </w:t>
      </w:r>
      <w:r w:rsidRPr="00E47A9D">
        <w:rPr>
          <w:i/>
          <w:iCs/>
          <w:sz w:val="20"/>
          <w:szCs w:val="20"/>
        </w:rPr>
        <w:t>Cultural Studies</w:t>
      </w:r>
      <w:r w:rsidR="00D770F9" w:rsidRPr="00E47A9D">
        <w:rPr>
          <w:sz w:val="20"/>
          <w:szCs w:val="20"/>
        </w:rPr>
        <w:t xml:space="preserve"> 295-337. Routledge, 2013.</w:t>
      </w:r>
    </w:p>
    <w:p w14:paraId="21ED3AB1" w14:textId="31998EDA" w:rsidR="00711798" w:rsidRPr="00E47A9D" w:rsidRDefault="00D770F9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Scott, Joan W. “The Evidence of Experience.” </w:t>
      </w:r>
      <w:r w:rsidRPr="00E47A9D">
        <w:rPr>
          <w:i/>
          <w:iCs/>
          <w:sz w:val="20"/>
          <w:szCs w:val="20"/>
        </w:rPr>
        <w:t xml:space="preserve">Critical Inquiry </w:t>
      </w:r>
      <w:r w:rsidRPr="00E47A9D">
        <w:rPr>
          <w:sz w:val="20"/>
          <w:szCs w:val="20"/>
        </w:rPr>
        <w:t xml:space="preserve">17.4 (1991): 773-797. </w:t>
      </w:r>
    </w:p>
    <w:p w14:paraId="0A8C4EAD" w14:textId="22EE83B3" w:rsidR="00D770F9" w:rsidRPr="00E47A9D" w:rsidRDefault="00D770F9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Wimbush, Vincent L (ed). </w:t>
      </w:r>
      <w:r w:rsidRPr="00E47A9D">
        <w:rPr>
          <w:i/>
          <w:iCs/>
          <w:sz w:val="20"/>
          <w:szCs w:val="20"/>
        </w:rPr>
        <w:t xml:space="preserve">Theorizing Scriptures: New Critical Orientations to a Cultural Phenomenon. </w:t>
      </w:r>
      <w:r w:rsidRPr="00E47A9D">
        <w:rPr>
          <w:sz w:val="20"/>
          <w:szCs w:val="20"/>
        </w:rPr>
        <w:t xml:space="preserve">New Jersey: Rutgers University Press. 2008. </w:t>
      </w:r>
    </w:p>
    <w:p w14:paraId="1980B6D6" w14:textId="000EAC12" w:rsidR="00D770F9" w:rsidRPr="00E47A9D" w:rsidRDefault="00D770F9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Wimbush, Vincent L. </w:t>
      </w:r>
      <w:proofErr w:type="spellStart"/>
      <w:r w:rsidRPr="00E47A9D">
        <w:rPr>
          <w:i/>
          <w:iCs/>
          <w:sz w:val="20"/>
          <w:szCs w:val="20"/>
        </w:rPr>
        <w:t>Scripturalectics</w:t>
      </w:r>
      <w:proofErr w:type="spellEnd"/>
      <w:r w:rsidRPr="00E47A9D">
        <w:rPr>
          <w:i/>
          <w:iCs/>
          <w:sz w:val="20"/>
          <w:szCs w:val="20"/>
        </w:rPr>
        <w:t xml:space="preserve">: The Management of Meaning. </w:t>
      </w:r>
      <w:r w:rsidRPr="00E47A9D">
        <w:rPr>
          <w:sz w:val="20"/>
          <w:szCs w:val="20"/>
        </w:rPr>
        <w:t xml:space="preserve">Oxford: Oxford University Press. 2017. </w:t>
      </w:r>
    </w:p>
    <w:p w14:paraId="45745E9B" w14:textId="5D663141" w:rsidR="001D7183" w:rsidRDefault="0048351C">
      <w:pPr>
        <w:rPr>
          <w:u w:val="single"/>
        </w:rPr>
      </w:pPr>
      <w:r w:rsidRPr="0048351C">
        <w:rPr>
          <w:u w:val="single"/>
        </w:rPr>
        <w:t>Methodology, Ethnography</w:t>
      </w:r>
      <w:r w:rsidR="00E47A9D">
        <w:rPr>
          <w:u w:val="single"/>
        </w:rPr>
        <w:t xml:space="preserve"> and Oral History</w:t>
      </w:r>
    </w:p>
    <w:p w14:paraId="0970F5AA" w14:textId="78DB88E8" w:rsidR="00711798" w:rsidRPr="00E47A9D" w:rsidRDefault="00711798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Blankenship-Lai, Paul Houston. </w:t>
      </w:r>
      <w:r w:rsidRPr="00E47A9D">
        <w:rPr>
          <w:i/>
          <w:iCs/>
          <w:sz w:val="20"/>
          <w:szCs w:val="20"/>
        </w:rPr>
        <w:t xml:space="preserve">Soul Woundedness: Spirituality on the Streets of Seattle. </w:t>
      </w:r>
      <w:r w:rsidRPr="00E47A9D">
        <w:rPr>
          <w:sz w:val="20"/>
          <w:szCs w:val="20"/>
        </w:rPr>
        <w:t xml:space="preserve">New York: Fordham University Press. 2025. </w:t>
      </w:r>
    </w:p>
    <w:p w14:paraId="7F18A83D" w14:textId="20EE5AD8" w:rsidR="00711798" w:rsidRPr="00E47A9D" w:rsidRDefault="00711798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Bourgois, Philippe and Jeff Schonberg. </w:t>
      </w:r>
      <w:r w:rsidRPr="00E47A9D">
        <w:rPr>
          <w:i/>
          <w:iCs/>
          <w:sz w:val="20"/>
          <w:szCs w:val="20"/>
        </w:rPr>
        <w:t xml:space="preserve">Righteous </w:t>
      </w:r>
      <w:proofErr w:type="spellStart"/>
      <w:r w:rsidRPr="00E47A9D">
        <w:rPr>
          <w:i/>
          <w:iCs/>
          <w:sz w:val="20"/>
          <w:szCs w:val="20"/>
        </w:rPr>
        <w:t>Dopefiend</w:t>
      </w:r>
      <w:proofErr w:type="spellEnd"/>
      <w:r w:rsidRPr="00E47A9D">
        <w:rPr>
          <w:i/>
          <w:iCs/>
          <w:sz w:val="20"/>
          <w:szCs w:val="20"/>
        </w:rPr>
        <w:t xml:space="preserve">. </w:t>
      </w:r>
      <w:r w:rsidRPr="00E47A9D">
        <w:rPr>
          <w:sz w:val="20"/>
          <w:szCs w:val="20"/>
        </w:rPr>
        <w:t xml:space="preserve">Berkeley: University of California Press. 2009. </w:t>
      </w:r>
    </w:p>
    <w:p w14:paraId="5D2FA8B7" w14:textId="192016D5" w:rsidR="0086654A" w:rsidRPr="00E47A9D" w:rsidRDefault="0086654A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Buss, Fran Leeper. </w:t>
      </w:r>
      <w:r w:rsidRPr="00E47A9D">
        <w:rPr>
          <w:i/>
          <w:iCs/>
          <w:sz w:val="20"/>
          <w:szCs w:val="20"/>
        </w:rPr>
        <w:t xml:space="preserve">Memory, Meaning and Resistance: Reflecting on Oral History and Women at the Margins. </w:t>
      </w:r>
      <w:r w:rsidRPr="00E47A9D">
        <w:rPr>
          <w:sz w:val="20"/>
          <w:szCs w:val="20"/>
        </w:rPr>
        <w:t xml:space="preserve">University of Michigan Press. 2017. </w:t>
      </w:r>
    </w:p>
    <w:p w14:paraId="7A4205FB" w14:textId="58B2C4AB" w:rsidR="00E8170E" w:rsidRPr="00E47A9D" w:rsidRDefault="00E8170E">
      <w:pPr>
        <w:rPr>
          <w:sz w:val="20"/>
          <w:szCs w:val="20"/>
        </w:rPr>
      </w:pPr>
      <w:r w:rsidRPr="00E47A9D">
        <w:rPr>
          <w:sz w:val="20"/>
          <w:szCs w:val="20"/>
        </w:rPr>
        <w:t>Detamore, Mathias. “Queer(y)</w:t>
      </w:r>
      <w:proofErr w:type="spellStart"/>
      <w:r w:rsidRPr="00E47A9D">
        <w:rPr>
          <w:sz w:val="20"/>
          <w:szCs w:val="20"/>
        </w:rPr>
        <w:t>ing</w:t>
      </w:r>
      <w:proofErr w:type="spellEnd"/>
      <w:r w:rsidRPr="00E47A9D">
        <w:rPr>
          <w:sz w:val="20"/>
          <w:szCs w:val="20"/>
        </w:rPr>
        <w:t xml:space="preserve"> the Ethics of Research Methods: Toward a Politics of Intimacy in Researcher/Researched Relations.” Chapter 10 in </w:t>
      </w:r>
      <w:r w:rsidRPr="00E47A9D">
        <w:rPr>
          <w:i/>
          <w:iCs/>
          <w:sz w:val="20"/>
          <w:szCs w:val="20"/>
        </w:rPr>
        <w:t xml:space="preserve">Queer Methods and Methodologies: Intersecting Queer Theories and Social Science Research. </w:t>
      </w:r>
      <w:r w:rsidRPr="00E47A9D">
        <w:rPr>
          <w:sz w:val="20"/>
          <w:szCs w:val="20"/>
        </w:rPr>
        <w:t xml:space="preserve">Edited by Kath Browne. </w:t>
      </w:r>
      <w:proofErr w:type="spellStart"/>
      <w:r w:rsidRPr="00E47A9D">
        <w:rPr>
          <w:sz w:val="20"/>
          <w:szCs w:val="20"/>
        </w:rPr>
        <w:t>Taylor&amp;Francis</w:t>
      </w:r>
      <w:proofErr w:type="spellEnd"/>
      <w:r w:rsidRPr="00E47A9D">
        <w:rPr>
          <w:sz w:val="20"/>
          <w:szCs w:val="20"/>
        </w:rPr>
        <w:t xml:space="preserve"> Group. 2010. </w:t>
      </w:r>
    </w:p>
    <w:p w14:paraId="7A10043A" w14:textId="4A67ECA7" w:rsidR="00D770F9" w:rsidRPr="00E47A9D" w:rsidRDefault="00D770F9" w:rsidP="00E8170E">
      <w:pPr>
        <w:rPr>
          <w:sz w:val="20"/>
          <w:szCs w:val="20"/>
        </w:rPr>
      </w:pPr>
      <w:r w:rsidRPr="00E47A9D">
        <w:rPr>
          <w:sz w:val="20"/>
          <w:szCs w:val="20"/>
        </w:rPr>
        <w:t>Frazier, Nishani, Christy Hyman, and Hilary N. Green. "Black Is Not the Absence of Light: Restoring Black Visibility and Liberation to Digital Humanities." </w:t>
      </w:r>
      <w:r w:rsidRPr="00E47A9D">
        <w:rPr>
          <w:sz w:val="20"/>
          <w:szCs w:val="20"/>
        </w:rPr>
        <w:t xml:space="preserve">Chapter 9 in </w:t>
      </w:r>
      <w:r w:rsidRPr="00E47A9D">
        <w:rPr>
          <w:i/>
          <w:iCs/>
          <w:sz w:val="20"/>
          <w:szCs w:val="20"/>
        </w:rPr>
        <w:t>Debates in the Digital Humanities 2023</w:t>
      </w:r>
      <w:r w:rsidRPr="00E47A9D">
        <w:rPr>
          <w:sz w:val="20"/>
          <w:szCs w:val="20"/>
        </w:rPr>
        <w:t> (2023).</w:t>
      </w:r>
    </w:p>
    <w:p w14:paraId="52448C73" w14:textId="6B0A0288" w:rsidR="00711798" w:rsidRPr="00E47A9D" w:rsidRDefault="00711798" w:rsidP="00E8170E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Gowan, Teresa. </w:t>
      </w:r>
      <w:r w:rsidRPr="00E47A9D">
        <w:rPr>
          <w:i/>
          <w:iCs/>
          <w:sz w:val="20"/>
          <w:szCs w:val="20"/>
        </w:rPr>
        <w:t xml:space="preserve">Hobos, Hustlers, and Backsliders: Homeless in San Francisco. </w:t>
      </w:r>
      <w:r w:rsidRPr="00E47A9D">
        <w:rPr>
          <w:sz w:val="20"/>
          <w:szCs w:val="20"/>
        </w:rPr>
        <w:t>Minneapolis: University of Minnesota Press. 2010.</w:t>
      </w:r>
    </w:p>
    <w:p w14:paraId="2B96EF35" w14:textId="524C401D" w:rsidR="00E8170E" w:rsidRPr="00E47A9D" w:rsidRDefault="00E8170E" w:rsidP="00E8170E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Graham, Mark. “Method Matters: Ethnography and Materiality.” Chapter 11 in </w:t>
      </w:r>
      <w:r w:rsidRPr="00E47A9D">
        <w:rPr>
          <w:i/>
          <w:iCs/>
          <w:sz w:val="20"/>
          <w:szCs w:val="20"/>
        </w:rPr>
        <w:t xml:space="preserve">Queer Methods and Methodologies: Intersecting Queer Theories and Social Science Research. </w:t>
      </w:r>
      <w:r w:rsidRPr="00E47A9D">
        <w:rPr>
          <w:sz w:val="20"/>
          <w:szCs w:val="20"/>
        </w:rPr>
        <w:t xml:space="preserve">Edited by Kath Browne. </w:t>
      </w:r>
      <w:proofErr w:type="spellStart"/>
      <w:r w:rsidRPr="00E47A9D">
        <w:rPr>
          <w:sz w:val="20"/>
          <w:szCs w:val="20"/>
        </w:rPr>
        <w:t>Taylor&amp;Francis</w:t>
      </w:r>
      <w:proofErr w:type="spellEnd"/>
      <w:r w:rsidRPr="00E47A9D">
        <w:rPr>
          <w:sz w:val="20"/>
          <w:szCs w:val="20"/>
        </w:rPr>
        <w:t xml:space="preserve"> Group. 2010. </w:t>
      </w:r>
    </w:p>
    <w:p w14:paraId="43D4F1A0" w14:textId="3471E0B7" w:rsidR="0086654A" w:rsidRPr="00E47A9D" w:rsidRDefault="0086654A" w:rsidP="00E8170E">
      <w:pPr>
        <w:rPr>
          <w:sz w:val="20"/>
          <w:szCs w:val="20"/>
        </w:rPr>
      </w:pPr>
      <w:proofErr w:type="spellStart"/>
      <w:r w:rsidRPr="00E47A9D">
        <w:rPr>
          <w:sz w:val="20"/>
          <w:szCs w:val="20"/>
        </w:rPr>
        <w:t>Klumbytė</w:t>
      </w:r>
      <w:proofErr w:type="spellEnd"/>
      <w:r w:rsidRPr="00E47A9D">
        <w:rPr>
          <w:sz w:val="20"/>
          <w:szCs w:val="20"/>
        </w:rPr>
        <w:t xml:space="preserve">, Neringa. “Goddess in disguise: Transsociality and the aesthetics of living.” </w:t>
      </w:r>
      <w:r w:rsidRPr="00E47A9D">
        <w:rPr>
          <w:i/>
          <w:iCs/>
          <w:sz w:val="20"/>
          <w:szCs w:val="20"/>
        </w:rPr>
        <w:t xml:space="preserve">Journal of Ethnographic Theory </w:t>
      </w:r>
      <w:r w:rsidRPr="00E47A9D">
        <w:rPr>
          <w:sz w:val="20"/>
          <w:szCs w:val="20"/>
        </w:rPr>
        <w:t>12.2 (2022): 544-564.</w:t>
      </w:r>
    </w:p>
    <w:p w14:paraId="21C96A35" w14:textId="666F0DF5" w:rsidR="00E8170E" w:rsidRPr="00E47A9D" w:rsidRDefault="0086654A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Mahuika, </w:t>
      </w:r>
      <w:proofErr w:type="spellStart"/>
      <w:r w:rsidRPr="00E47A9D">
        <w:rPr>
          <w:sz w:val="20"/>
          <w:szCs w:val="20"/>
        </w:rPr>
        <w:t>Nēpia</w:t>
      </w:r>
      <w:proofErr w:type="spellEnd"/>
      <w:r w:rsidRPr="00E47A9D">
        <w:rPr>
          <w:sz w:val="20"/>
          <w:szCs w:val="20"/>
        </w:rPr>
        <w:t xml:space="preserve">. </w:t>
      </w:r>
      <w:r w:rsidRPr="00E47A9D">
        <w:rPr>
          <w:i/>
          <w:iCs/>
          <w:sz w:val="20"/>
          <w:szCs w:val="20"/>
        </w:rPr>
        <w:t>Rethinking Oral History and Tradition: An Indigenous Perspective.</w:t>
      </w:r>
      <w:r w:rsidRPr="00E47A9D">
        <w:rPr>
          <w:sz w:val="20"/>
          <w:szCs w:val="20"/>
        </w:rPr>
        <w:t xml:space="preserve"> Oxford: Oxford University Press. 2019. </w:t>
      </w:r>
    </w:p>
    <w:p w14:paraId="752D6B91" w14:textId="605C8EC0" w:rsidR="0086654A" w:rsidRPr="00E47A9D" w:rsidRDefault="0086654A">
      <w:pPr>
        <w:rPr>
          <w:sz w:val="20"/>
          <w:szCs w:val="20"/>
        </w:rPr>
      </w:pPr>
      <w:r w:rsidRPr="00E47A9D">
        <w:rPr>
          <w:sz w:val="20"/>
          <w:szCs w:val="20"/>
        </w:rPr>
        <w:lastRenderedPageBreak/>
        <w:t xml:space="preserve">Smith, Linda Tuhiwai. </w:t>
      </w:r>
      <w:r w:rsidRPr="00E47A9D">
        <w:rPr>
          <w:i/>
          <w:iCs/>
          <w:sz w:val="20"/>
          <w:szCs w:val="20"/>
        </w:rPr>
        <w:t xml:space="preserve">Decolonizing Methodologies: Research and Indigenous Peoples. </w:t>
      </w:r>
      <w:r w:rsidRPr="00E47A9D">
        <w:rPr>
          <w:sz w:val="20"/>
          <w:szCs w:val="20"/>
        </w:rPr>
        <w:t>2</w:t>
      </w:r>
      <w:r w:rsidRPr="00E47A9D">
        <w:rPr>
          <w:sz w:val="20"/>
          <w:szCs w:val="20"/>
          <w:vertAlign w:val="superscript"/>
        </w:rPr>
        <w:t>nd</w:t>
      </w:r>
      <w:r w:rsidRPr="00E47A9D">
        <w:rPr>
          <w:sz w:val="20"/>
          <w:szCs w:val="20"/>
        </w:rPr>
        <w:t xml:space="preserve"> edition. New York: Zed Books. 2012.</w:t>
      </w:r>
    </w:p>
    <w:p w14:paraId="16B3EFA6" w14:textId="373A754C" w:rsidR="0086654A" w:rsidRPr="00E47A9D" w:rsidRDefault="0086654A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Visweswaran, Kamala. </w:t>
      </w:r>
      <w:r w:rsidRPr="00E47A9D">
        <w:rPr>
          <w:i/>
          <w:iCs/>
          <w:sz w:val="20"/>
          <w:szCs w:val="20"/>
        </w:rPr>
        <w:t>Fictions of Feminist Ethnography</w:t>
      </w:r>
      <w:r w:rsidRPr="00E47A9D">
        <w:rPr>
          <w:sz w:val="20"/>
          <w:szCs w:val="20"/>
        </w:rPr>
        <w:t xml:space="preserve">. Minneapolis: University of Minnesota Press. 1994. </w:t>
      </w:r>
    </w:p>
    <w:p w14:paraId="0B08D8F3" w14:textId="77777777" w:rsidR="00E47A9D" w:rsidRDefault="00E47A9D" w:rsidP="00E47A9D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Wacquant, Loïc. “Scrutinizing the Street: Poverty, Morality, and the Pitfalls of Urban Ethnography.” </w:t>
      </w:r>
      <w:r w:rsidRPr="00E47A9D">
        <w:rPr>
          <w:i/>
          <w:iCs/>
          <w:sz w:val="20"/>
          <w:szCs w:val="20"/>
        </w:rPr>
        <w:t xml:space="preserve">American Journal of Sociology </w:t>
      </w:r>
      <w:r w:rsidRPr="00E47A9D">
        <w:rPr>
          <w:sz w:val="20"/>
          <w:szCs w:val="20"/>
        </w:rPr>
        <w:t>107.6 (2002): 1468-1532.</w:t>
      </w:r>
    </w:p>
    <w:p w14:paraId="76CC0387" w14:textId="606566A6" w:rsidR="00FD0DC7" w:rsidRPr="00FD0DC7" w:rsidRDefault="00FD0DC7" w:rsidP="00E47A9D">
      <w:pPr>
        <w:rPr>
          <w:sz w:val="20"/>
          <w:szCs w:val="20"/>
        </w:rPr>
      </w:pPr>
      <w:r>
        <w:rPr>
          <w:sz w:val="20"/>
          <w:szCs w:val="20"/>
        </w:rPr>
        <w:t xml:space="preserve">Wasserman, J.A. and J.M. Clair. </w:t>
      </w:r>
      <w:r>
        <w:rPr>
          <w:i/>
          <w:iCs/>
          <w:sz w:val="20"/>
          <w:szCs w:val="20"/>
        </w:rPr>
        <w:t xml:space="preserve">At home on the street: people, poverty and a hidden culture of homelessness. </w:t>
      </w:r>
      <w:r>
        <w:rPr>
          <w:sz w:val="20"/>
          <w:szCs w:val="20"/>
        </w:rPr>
        <w:t xml:space="preserve">Boulder: Lynne Reinner Publishers. 2009. </w:t>
      </w:r>
    </w:p>
    <w:p w14:paraId="310175AE" w14:textId="68144A49" w:rsidR="0048351C" w:rsidRPr="00E8170E" w:rsidRDefault="0048351C">
      <w:pPr>
        <w:rPr>
          <w:u w:val="single"/>
        </w:rPr>
      </w:pPr>
      <w:r w:rsidRPr="00E8170E">
        <w:rPr>
          <w:u w:val="single"/>
        </w:rPr>
        <w:t>Historical</w:t>
      </w:r>
      <w:r w:rsidR="00FD0DC7">
        <w:rPr>
          <w:u w:val="single"/>
        </w:rPr>
        <w:t>. Lawrence, homelessness,</w:t>
      </w:r>
    </w:p>
    <w:p w14:paraId="21DA5E6E" w14:textId="144A1A36" w:rsidR="0086654A" w:rsidRPr="00E47A9D" w:rsidRDefault="0086654A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Cresswell, Tim. </w:t>
      </w:r>
      <w:r w:rsidRPr="00E47A9D">
        <w:rPr>
          <w:i/>
          <w:iCs/>
          <w:sz w:val="20"/>
          <w:szCs w:val="20"/>
        </w:rPr>
        <w:t xml:space="preserve">The Tramp in America. </w:t>
      </w:r>
      <w:proofErr w:type="spellStart"/>
      <w:r w:rsidRPr="00E47A9D">
        <w:rPr>
          <w:sz w:val="20"/>
          <w:szCs w:val="20"/>
        </w:rPr>
        <w:t>Reaktion</w:t>
      </w:r>
      <w:proofErr w:type="spellEnd"/>
      <w:r w:rsidRPr="00E47A9D">
        <w:rPr>
          <w:sz w:val="20"/>
          <w:szCs w:val="20"/>
        </w:rPr>
        <w:t xml:space="preserve"> Book. 2001. </w:t>
      </w:r>
    </w:p>
    <w:p w14:paraId="30426044" w14:textId="114FFDCD" w:rsidR="00711798" w:rsidRPr="00E47A9D" w:rsidRDefault="00711798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Fowler III, Paul E. “Breaking ground in Canaan: African-American community in Lawrence, 1870-1920.” </w:t>
      </w:r>
      <w:r w:rsidRPr="00E47A9D">
        <w:rPr>
          <w:i/>
          <w:iCs/>
          <w:sz w:val="20"/>
          <w:szCs w:val="20"/>
        </w:rPr>
        <w:t xml:space="preserve">Journal of Undergraduate Research </w:t>
      </w:r>
      <w:r w:rsidRPr="00E47A9D">
        <w:rPr>
          <w:sz w:val="20"/>
          <w:szCs w:val="20"/>
        </w:rPr>
        <w:t>Summer 2013-Spring 2014: 9-19.</w:t>
      </w:r>
    </w:p>
    <w:p w14:paraId="77A8123A" w14:textId="50066EED" w:rsidR="0048351C" w:rsidRPr="00E47A9D" w:rsidRDefault="0048351C">
      <w:pPr>
        <w:rPr>
          <w:sz w:val="20"/>
          <w:szCs w:val="20"/>
        </w:rPr>
      </w:pPr>
      <w:proofErr w:type="spellStart"/>
      <w:r w:rsidRPr="00E47A9D">
        <w:rPr>
          <w:sz w:val="20"/>
          <w:szCs w:val="20"/>
        </w:rPr>
        <w:t>Hardinghaus</w:t>
      </w:r>
      <w:proofErr w:type="spellEnd"/>
      <w:r w:rsidRPr="00E47A9D">
        <w:rPr>
          <w:sz w:val="20"/>
          <w:szCs w:val="20"/>
        </w:rPr>
        <w:t xml:space="preserve">, Mattias. “The Meaning of Protestant-Calvinist Imagery in Urban America: An Interpretation of the City-Suburb Structure.” </w:t>
      </w:r>
      <w:r w:rsidRPr="00E47A9D">
        <w:rPr>
          <w:i/>
          <w:iCs/>
          <w:sz w:val="20"/>
          <w:szCs w:val="20"/>
        </w:rPr>
        <w:t xml:space="preserve">Space and Culture </w:t>
      </w:r>
      <w:r w:rsidRPr="00E47A9D">
        <w:rPr>
          <w:sz w:val="20"/>
          <w:szCs w:val="20"/>
        </w:rPr>
        <w:t>11.4 (2008): 422-436</w:t>
      </w:r>
      <w:r w:rsidR="00E8170E" w:rsidRPr="00E47A9D">
        <w:rPr>
          <w:sz w:val="20"/>
          <w:szCs w:val="20"/>
        </w:rPr>
        <w:t>.</w:t>
      </w:r>
    </w:p>
    <w:p w14:paraId="0D1A5CD9" w14:textId="0E988E17" w:rsidR="00147D4A" w:rsidRPr="00E47A9D" w:rsidRDefault="00147D4A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Holt, Marilyn Irvin. “Over the Hill to the Poorhouse.” </w:t>
      </w:r>
      <w:r w:rsidRPr="00E47A9D">
        <w:rPr>
          <w:i/>
          <w:iCs/>
          <w:sz w:val="20"/>
          <w:szCs w:val="20"/>
        </w:rPr>
        <w:t>Kansas History: A Journal of the Central Plains</w:t>
      </w:r>
      <w:r w:rsidRPr="00E47A9D">
        <w:rPr>
          <w:sz w:val="20"/>
          <w:szCs w:val="20"/>
        </w:rPr>
        <w:t xml:space="preserve"> 39 (Spring 2016): 2-15.</w:t>
      </w:r>
    </w:p>
    <w:p w14:paraId="5B6320E5" w14:textId="66D178F6" w:rsidR="00E8170E" w:rsidRPr="00E47A9D" w:rsidRDefault="00E8170E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Hughes, Sakina. “The Community Became an Almost Civilized and Christian One: John Stewart’s Mission to the Wyandots and Religious Colonialism as African American Racial Uplift.” </w:t>
      </w:r>
      <w:r w:rsidRPr="00E47A9D">
        <w:rPr>
          <w:i/>
          <w:iCs/>
          <w:sz w:val="20"/>
          <w:szCs w:val="20"/>
        </w:rPr>
        <w:t xml:space="preserve">Native American and Indigenous Studies </w:t>
      </w:r>
      <w:r w:rsidRPr="00E47A9D">
        <w:rPr>
          <w:sz w:val="20"/>
          <w:szCs w:val="20"/>
        </w:rPr>
        <w:t>3.1 (2016): 24-45.</w:t>
      </w:r>
    </w:p>
    <w:p w14:paraId="12F51E50" w14:textId="31CB3F07" w:rsidR="0086654A" w:rsidRPr="00E47A9D" w:rsidRDefault="0086654A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Katz. Michael B. </w:t>
      </w:r>
      <w:r w:rsidRPr="00E47A9D">
        <w:rPr>
          <w:i/>
          <w:iCs/>
          <w:sz w:val="20"/>
          <w:szCs w:val="20"/>
        </w:rPr>
        <w:t>Poverty and Policy in American History</w:t>
      </w:r>
      <w:r w:rsidRPr="00E47A9D">
        <w:rPr>
          <w:sz w:val="20"/>
          <w:szCs w:val="20"/>
        </w:rPr>
        <w:t xml:space="preserve">. New York: Academic Press. 1983. </w:t>
      </w:r>
    </w:p>
    <w:p w14:paraId="510B0BDB" w14:textId="765C699A" w:rsidR="00711798" w:rsidRPr="00E47A9D" w:rsidRDefault="00711798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Kusmer, Kenneth L. </w:t>
      </w:r>
      <w:r w:rsidRPr="00E47A9D">
        <w:rPr>
          <w:i/>
          <w:iCs/>
          <w:sz w:val="20"/>
          <w:szCs w:val="20"/>
        </w:rPr>
        <w:t>Down and Out, on the Road: The Homeless in American History.</w:t>
      </w:r>
      <w:r w:rsidRPr="00E47A9D">
        <w:rPr>
          <w:sz w:val="20"/>
          <w:szCs w:val="20"/>
        </w:rPr>
        <w:t xml:space="preserve"> Oxford: Oxford University Press. 2002. </w:t>
      </w:r>
    </w:p>
    <w:p w14:paraId="367E870D" w14:textId="676A8BDA" w:rsidR="00711798" w:rsidRPr="00E47A9D" w:rsidRDefault="00711798">
      <w:pPr>
        <w:rPr>
          <w:sz w:val="20"/>
          <w:szCs w:val="20"/>
        </w:rPr>
      </w:pPr>
      <w:proofErr w:type="spellStart"/>
      <w:r w:rsidRPr="00E47A9D">
        <w:rPr>
          <w:sz w:val="20"/>
          <w:szCs w:val="20"/>
        </w:rPr>
        <w:t>Monkkonen</w:t>
      </w:r>
      <w:proofErr w:type="spellEnd"/>
      <w:r w:rsidRPr="00E47A9D">
        <w:rPr>
          <w:sz w:val="20"/>
          <w:szCs w:val="20"/>
        </w:rPr>
        <w:t xml:space="preserve">, Eric. H (ed.). </w:t>
      </w:r>
      <w:r w:rsidRPr="00E47A9D">
        <w:rPr>
          <w:i/>
          <w:iCs/>
          <w:sz w:val="20"/>
          <w:szCs w:val="20"/>
        </w:rPr>
        <w:t>Walking to Work: Tramps in America, 1790-1935.</w:t>
      </w:r>
      <w:r w:rsidRPr="00E47A9D">
        <w:rPr>
          <w:sz w:val="20"/>
          <w:szCs w:val="20"/>
        </w:rPr>
        <w:t xml:space="preserve"> Lincoln: University of Nebraska Press. 1984. </w:t>
      </w:r>
    </w:p>
    <w:p w14:paraId="0046FD89" w14:textId="760D6029" w:rsidR="00E8170E" w:rsidRPr="00E47A9D" w:rsidRDefault="00E8170E">
      <w:pPr>
        <w:rPr>
          <w:sz w:val="20"/>
          <w:szCs w:val="20"/>
        </w:rPr>
      </w:pPr>
      <w:r w:rsidRPr="00E47A9D">
        <w:rPr>
          <w:sz w:val="20"/>
          <w:szCs w:val="20"/>
        </w:rPr>
        <w:t>Reed, Ashley. “</w:t>
      </w:r>
      <w:r w:rsidRPr="00E47A9D">
        <w:rPr>
          <w:i/>
          <w:iCs/>
          <w:sz w:val="20"/>
          <w:szCs w:val="20"/>
        </w:rPr>
        <w:t xml:space="preserve">Hope Leslie </w:t>
      </w:r>
      <w:r w:rsidRPr="00E47A9D">
        <w:rPr>
          <w:sz w:val="20"/>
          <w:szCs w:val="20"/>
        </w:rPr>
        <w:t xml:space="preserve">and the Grounds of Secularism.” </w:t>
      </w:r>
      <w:r w:rsidRPr="00E47A9D">
        <w:rPr>
          <w:i/>
          <w:iCs/>
          <w:sz w:val="20"/>
          <w:szCs w:val="20"/>
        </w:rPr>
        <w:t xml:space="preserve">ESQ: A Journal of Nineteenth Century American Literature and Culture </w:t>
      </w:r>
      <w:r w:rsidRPr="00E47A9D">
        <w:rPr>
          <w:sz w:val="20"/>
          <w:szCs w:val="20"/>
        </w:rPr>
        <w:t>66.1 (2020): 89-132.</w:t>
      </w:r>
    </w:p>
    <w:p w14:paraId="53492510" w14:textId="06B10481" w:rsidR="0086654A" w:rsidRDefault="0086654A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Rossi, Peter H. </w:t>
      </w:r>
      <w:r w:rsidRPr="00E47A9D">
        <w:rPr>
          <w:i/>
          <w:iCs/>
          <w:sz w:val="20"/>
          <w:szCs w:val="20"/>
        </w:rPr>
        <w:t>Down and Out in America: The Origins of Homelessness.</w:t>
      </w:r>
      <w:r w:rsidRPr="00E47A9D">
        <w:rPr>
          <w:sz w:val="20"/>
          <w:szCs w:val="20"/>
        </w:rPr>
        <w:t xml:space="preserve"> Chicago: University of Chicago Press. 1989.</w:t>
      </w:r>
    </w:p>
    <w:p w14:paraId="65507FD0" w14:textId="00E06A8E" w:rsidR="00FD0DC7" w:rsidRPr="00E47A9D" w:rsidRDefault="00FD0DC7">
      <w:pPr>
        <w:rPr>
          <w:sz w:val="20"/>
          <w:szCs w:val="20"/>
        </w:rPr>
      </w:pPr>
      <w:r>
        <w:rPr>
          <w:sz w:val="20"/>
          <w:szCs w:val="20"/>
        </w:rPr>
        <w:t xml:space="preserve">Weasel Head, Gabrielle. “ “All We Need is our Land:” An Exploration of Urban Aboriginal Homelessness.” MA Thesis, </w:t>
      </w:r>
      <w:proofErr w:type="spellStart"/>
      <w:r>
        <w:rPr>
          <w:sz w:val="20"/>
          <w:szCs w:val="20"/>
        </w:rPr>
        <w:t>Univeristy</w:t>
      </w:r>
      <w:proofErr w:type="spellEnd"/>
      <w:r>
        <w:rPr>
          <w:sz w:val="20"/>
          <w:szCs w:val="20"/>
        </w:rPr>
        <w:t xml:space="preserve"> of Lethbridge. March 2011. </w:t>
      </w:r>
    </w:p>
    <w:p w14:paraId="74F54F17" w14:textId="48B852D1" w:rsidR="00E8170E" w:rsidRPr="00E47A9D" w:rsidRDefault="00E8170E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Wenger. Tisa. “Making Religion on the Reservation: Native Americans and the Settler Secular.” Chapter 3 in </w:t>
      </w:r>
      <w:r w:rsidRPr="00E47A9D">
        <w:rPr>
          <w:i/>
          <w:iCs/>
          <w:sz w:val="20"/>
          <w:szCs w:val="20"/>
        </w:rPr>
        <w:t>Religious Freedom: The Contested History of an American Ideal.</w:t>
      </w:r>
      <w:r w:rsidRPr="00E47A9D">
        <w:rPr>
          <w:sz w:val="20"/>
          <w:szCs w:val="20"/>
        </w:rPr>
        <w:t xml:space="preserve"> University of North Carolina Press. 2017.</w:t>
      </w:r>
    </w:p>
    <w:p w14:paraId="61C0AA0F" w14:textId="22912843" w:rsidR="00E8170E" w:rsidRDefault="00E8170E">
      <w:pPr>
        <w:rPr>
          <w:sz w:val="20"/>
          <w:szCs w:val="20"/>
        </w:rPr>
      </w:pPr>
      <w:r w:rsidRPr="00E47A9D">
        <w:rPr>
          <w:sz w:val="20"/>
          <w:szCs w:val="20"/>
        </w:rPr>
        <w:t xml:space="preserve">Wenger, Tisa. “Making Religion, Making the West.” </w:t>
      </w:r>
      <w:r w:rsidRPr="00E47A9D">
        <w:rPr>
          <w:i/>
          <w:iCs/>
          <w:sz w:val="20"/>
          <w:szCs w:val="20"/>
        </w:rPr>
        <w:t xml:space="preserve">Pacific Historical Review </w:t>
      </w:r>
      <w:r w:rsidRPr="00E47A9D">
        <w:rPr>
          <w:sz w:val="20"/>
          <w:szCs w:val="20"/>
        </w:rPr>
        <w:t>92.3 (2023): 327-341.</w:t>
      </w:r>
    </w:p>
    <w:p w14:paraId="732D825E" w14:textId="6D14DB61" w:rsidR="00FD0DC7" w:rsidRPr="00FD0DC7" w:rsidRDefault="00FD0DC7">
      <w:pPr>
        <w:rPr>
          <w:sz w:val="20"/>
          <w:szCs w:val="20"/>
        </w:rPr>
      </w:pPr>
      <w:r>
        <w:rPr>
          <w:sz w:val="20"/>
          <w:szCs w:val="20"/>
        </w:rPr>
        <w:t xml:space="preserve">Wright, T. </w:t>
      </w:r>
      <w:r>
        <w:rPr>
          <w:i/>
          <w:iCs/>
          <w:sz w:val="20"/>
          <w:szCs w:val="20"/>
        </w:rPr>
        <w:t xml:space="preserve">Out of place: homeless mobilizations, </w:t>
      </w:r>
      <w:proofErr w:type="spellStart"/>
      <w:r>
        <w:rPr>
          <w:i/>
          <w:iCs/>
          <w:sz w:val="20"/>
          <w:szCs w:val="20"/>
        </w:rPr>
        <w:t>subcities</w:t>
      </w:r>
      <w:proofErr w:type="spellEnd"/>
      <w:r>
        <w:rPr>
          <w:i/>
          <w:iCs/>
          <w:sz w:val="20"/>
          <w:szCs w:val="20"/>
        </w:rPr>
        <w:t xml:space="preserve">, and contested landscapes. </w:t>
      </w:r>
      <w:r>
        <w:rPr>
          <w:sz w:val="20"/>
          <w:szCs w:val="20"/>
        </w:rPr>
        <w:t xml:space="preserve">Albany: State University of New York Press. 1997. </w:t>
      </w:r>
    </w:p>
    <w:p w14:paraId="05436A40" w14:textId="77777777" w:rsidR="0048351C" w:rsidRPr="0048351C" w:rsidRDefault="0048351C"/>
    <w:sectPr w:rsidR="0048351C" w:rsidRPr="004835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59758" w14:textId="77777777" w:rsidR="000F6BC6" w:rsidRDefault="000F6BC6" w:rsidP="001D7183">
      <w:pPr>
        <w:spacing w:after="0" w:line="240" w:lineRule="auto"/>
      </w:pPr>
      <w:r>
        <w:separator/>
      </w:r>
    </w:p>
  </w:endnote>
  <w:endnote w:type="continuationSeparator" w:id="0">
    <w:p w14:paraId="16DD8BE4" w14:textId="77777777" w:rsidR="000F6BC6" w:rsidRDefault="000F6BC6" w:rsidP="001D7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AD07A4" w14:textId="77777777" w:rsidR="000F6BC6" w:rsidRDefault="000F6BC6" w:rsidP="001D7183">
      <w:pPr>
        <w:spacing w:after="0" w:line="240" w:lineRule="auto"/>
      </w:pPr>
      <w:r>
        <w:separator/>
      </w:r>
    </w:p>
  </w:footnote>
  <w:footnote w:type="continuationSeparator" w:id="0">
    <w:p w14:paraId="7AF166A4" w14:textId="77777777" w:rsidR="000F6BC6" w:rsidRDefault="000F6BC6" w:rsidP="001D71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11BD5"/>
    <w:multiLevelType w:val="hybridMultilevel"/>
    <w:tmpl w:val="FA067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17990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71D"/>
    <w:rsid w:val="000F6BC6"/>
    <w:rsid w:val="00147D4A"/>
    <w:rsid w:val="001D7183"/>
    <w:rsid w:val="002E7C67"/>
    <w:rsid w:val="00401EB4"/>
    <w:rsid w:val="0048351C"/>
    <w:rsid w:val="0067571D"/>
    <w:rsid w:val="006A19FC"/>
    <w:rsid w:val="00711798"/>
    <w:rsid w:val="0086654A"/>
    <w:rsid w:val="008721A5"/>
    <w:rsid w:val="00D770F9"/>
    <w:rsid w:val="00E47A9D"/>
    <w:rsid w:val="00E54E9C"/>
    <w:rsid w:val="00E8170E"/>
    <w:rsid w:val="00EE588B"/>
    <w:rsid w:val="00FD0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61030"/>
  <w15:chartTrackingRefBased/>
  <w15:docId w15:val="{2C21995F-8B7F-496F-ADB3-1BF0BA4A2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57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7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7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7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7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7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7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7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7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7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7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7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7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7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7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7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7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7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7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57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7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57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7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57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7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57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7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7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71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D71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7183"/>
  </w:style>
  <w:style w:type="paragraph" w:styleId="Footer">
    <w:name w:val="footer"/>
    <w:basedOn w:val="Normal"/>
    <w:link w:val="FooterChar"/>
    <w:uiPriority w:val="99"/>
    <w:unhideWhenUsed/>
    <w:rsid w:val="001D71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71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5</Pages>
  <Words>1305</Words>
  <Characters>6526</Characters>
  <Application>Microsoft Office Word</Application>
  <DocSecurity>0</DocSecurity>
  <Lines>97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Schwaller, Rachel Elise Cordelia</dc:creator>
  <cp:keywords/>
  <dc:description/>
  <cp:lastModifiedBy>Schwaller, Rachel Elise Cordelia</cp:lastModifiedBy>
  <cp:revision>4</cp:revision>
  <dcterms:created xsi:type="dcterms:W3CDTF">2025-10-01T16:06:00Z</dcterms:created>
  <dcterms:modified xsi:type="dcterms:W3CDTF">2025-10-06T16:34:00Z</dcterms:modified>
</cp:coreProperties>
</file>