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2B2492" w14:textId="19D3EBAD" w:rsidR="008F4113" w:rsidRDefault="008F4113" w:rsidP="008F4113">
      <w:pPr>
        <w:rPr>
          <w:rFonts w:ascii="EB Garamond" w:eastAsia="EB Garamond" w:hAnsi="EB Garamond" w:cs="EB Garamond"/>
          <w:bCs/>
          <w:sz w:val="24"/>
          <w:szCs w:val="24"/>
        </w:rPr>
      </w:pPr>
      <w:r w:rsidRPr="008F4113">
        <w:rPr>
          <w:rFonts w:ascii="EB Garamond" w:eastAsia="EB Garamond" w:hAnsi="EB Garamond" w:cs="EB Garamond"/>
          <w:bCs/>
          <w:sz w:val="24"/>
          <w:szCs w:val="24"/>
        </w:rPr>
        <w:t>Ridhima Sharma</w:t>
      </w:r>
    </w:p>
    <w:p w14:paraId="7BCC522C" w14:textId="5C4ACF8C" w:rsidR="008F4113" w:rsidRPr="008F4113" w:rsidRDefault="008F4113" w:rsidP="008F4113">
      <w:pPr>
        <w:rPr>
          <w:rFonts w:ascii="EB Garamond" w:eastAsia="EB Garamond" w:hAnsi="EB Garamond" w:cs="EB Garamond"/>
          <w:bCs/>
          <w:sz w:val="24"/>
          <w:szCs w:val="24"/>
        </w:rPr>
      </w:pPr>
      <w:r>
        <w:rPr>
          <w:rFonts w:ascii="EB Garamond" w:eastAsia="EB Garamond" w:hAnsi="EB Garamond" w:cs="EB Garamond"/>
          <w:bCs/>
          <w:sz w:val="24"/>
          <w:szCs w:val="24"/>
        </w:rPr>
        <w:t>University of Toronto</w:t>
      </w:r>
    </w:p>
    <w:p w14:paraId="4789E4E1" w14:textId="77777777" w:rsidR="008F4113" w:rsidRDefault="008F4113" w:rsidP="008F4113">
      <w:pPr>
        <w:rPr>
          <w:rFonts w:ascii="EB Garamond" w:eastAsia="EB Garamond" w:hAnsi="EB Garamond" w:cs="EB Garamond"/>
          <w:b/>
          <w:sz w:val="24"/>
          <w:szCs w:val="24"/>
          <w:u w:val="single"/>
        </w:rPr>
      </w:pPr>
    </w:p>
    <w:p w14:paraId="00000001" w14:textId="6C9A3D36" w:rsidR="00FA5D76" w:rsidRDefault="008F4113">
      <w:pPr>
        <w:jc w:val="center"/>
        <w:rPr>
          <w:rFonts w:ascii="EB Garamond" w:eastAsia="EB Garamond" w:hAnsi="EB Garamond" w:cs="EB Garamond"/>
          <w:b/>
          <w:sz w:val="24"/>
          <w:szCs w:val="24"/>
          <w:u w:val="single"/>
        </w:rPr>
      </w:pPr>
      <w:r>
        <w:rPr>
          <w:rFonts w:ascii="EB Garamond" w:eastAsia="EB Garamond" w:hAnsi="EB Garamond" w:cs="EB Garamond"/>
          <w:b/>
          <w:sz w:val="24"/>
          <w:szCs w:val="24"/>
          <w:u w:val="single"/>
        </w:rPr>
        <w:t>The Cuts We Make: Extra/ Ordinary Hindutva in Contemporary India</w:t>
      </w:r>
    </w:p>
    <w:p w14:paraId="00000002" w14:textId="77777777" w:rsidR="00FA5D76" w:rsidRDefault="00FA5D76">
      <w:pPr>
        <w:jc w:val="both"/>
        <w:rPr>
          <w:rFonts w:ascii="EB Garamond" w:eastAsia="EB Garamond" w:hAnsi="EB Garamond" w:cs="EB Garamond"/>
          <w:sz w:val="24"/>
          <w:szCs w:val="24"/>
        </w:rPr>
      </w:pPr>
    </w:p>
    <w:p w14:paraId="00000003" w14:textId="77777777" w:rsidR="00FA5D76" w:rsidRDefault="00FA5D76">
      <w:pPr>
        <w:jc w:val="both"/>
        <w:rPr>
          <w:rFonts w:ascii="EB Garamond" w:eastAsia="EB Garamond" w:hAnsi="EB Garamond" w:cs="EB Garamond"/>
          <w:sz w:val="24"/>
          <w:szCs w:val="24"/>
        </w:rPr>
      </w:pPr>
    </w:p>
    <w:p w14:paraId="00000004" w14:textId="77777777" w:rsidR="00FA5D76" w:rsidRDefault="008F4113">
      <w:pPr>
        <w:jc w:val="both"/>
        <w:rPr>
          <w:rFonts w:ascii="EB Garamond" w:eastAsia="EB Garamond" w:hAnsi="EB Garamond" w:cs="EB Garamond"/>
          <w:sz w:val="24"/>
          <w:szCs w:val="24"/>
        </w:rPr>
      </w:pPr>
      <w:r>
        <w:rPr>
          <w:rFonts w:ascii="EB Garamond" w:eastAsia="EB Garamond" w:hAnsi="EB Garamond" w:cs="EB Garamond"/>
          <w:sz w:val="24"/>
          <w:szCs w:val="24"/>
        </w:rPr>
        <w:t>Set against the backdrop of the traction of Hindu authoritarian politics in contemporary India, my dissertation examines the emergent relationship between Hindu nationalism (or Hindutva) and various registers of “work” to ask: (1) How might a conceptual orientation around “work” help us (re)think the nature and durability of contemporary Hindutva and conversely, (2) With Hindutva foregrounded, what might we learn about the meanings and formations of “work”, and thus, (3) the alliance forged between “work” a</w:t>
      </w:r>
      <w:r>
        <w:rPr>
          <w:rFonts w:ascii="EB Garamond" w:eastAsia="EB Garamond" w:hAnsi="EB Garamond" w:cs="EB Garamond"/>
          <w:sz w:val="24"/>
          <w:szCs w:val="24"/>
        </w:rPr>
        <w:t xml:space="preserve">nd authoritarian politics? </w:t>
      </w:r>
    </w:p>
    <w:p w14:paraId="00000005" w14:textId="77777777" w:rsidR="00FA5D76" w:rsidRDefault="00FA5D76">
      <w:pPr>
        <w:jc w:val="both"/>
        <w:rPr>
          <w:rFonts w:ascii="EB Garamond" w:eastAsia="EB Garamond" w:hAnsi="EB Garamond" w:cs="EB Garamond"/>
          <w:sz w:val="24"/>
          <w:szCs w:val="24"/>
        </w:rPr>
      </w:pPr>
    </w:p>
    <w:p w14:paraId="00000006" w14:textId="77777777" w:rsidR="00FA5D76" w:rsidRDefault="008F4113">
      <w:pPr>
        <w:jc w:val="both"/>
        <w:rPr>
          <w:rFonts w:ascii="EB Garamond" w:eastAsia="EB Garamond" w:hAnsi="EB Garamond" w:cs="EB Garamond"/>
          <w:sz w:val="24"/>
          <w:szCs w:val="24"/>
        </w:rPr>
      </w:pPr>
      <w:r>
        <w:rPr>
          <w:rFonts w:ascii="EB Garamond" w:eastAsia="EB Garamond" w:hAnsi="EB Garamond" w:cs="EB Garamond"/>
          <w:sz w:val="24"/>
          <w:szCs w:val="24"/>
        </w:rPr>
        <w:t>This project has emerged from a long-standing interest in fascist politics in general and the emergence of Hindu nationalism in India in particular. The Narendra Modi-led Hindu authoritarian government first came to power in 2014 and is currently in its third consecutive term—Hindutva in India has then been well-consolidated and mastered. As part of my MPhil research (2016-18), I had asked, in line with a “secularist” common sense, how did we arrive at this extraordinary historical juncture: how did the onc</w:t>
      </w:r>
      <w:r>
        <w:rPr>
          <w:rFonts w:ascii="EB Garamond" w:eastAsia="EB Garamond" w:hAnsi="EB Garamond" w:cs="EB Garamond"/>
          <w:sz w:val="24"/>
          <w:szCs w:val="24"/>
        </w:rPr>
        <w:t xml:space="preserve">e fringe Hindu Right turn an India celebrated for its pluralist and secular ethos into an authoritarian regime where lynchings of minorities, the Muslims feels like a banal, everyday reality? This inquiry had taken the shape of an ethnography of a cow-shelter run by a Hindu militant organization. In the name of protecting the holy, feminized cow (the metonym of the Hindu nation) from the </w:t>
      </w:r>
      <w:proofErr w:type="spellStart"/>
      <w:r>
        <w:rPr>
          <w:rFonts w:ascii="EB Garamond" w:eastAsia="EB Garamond" w:hAnsi="EB Garamond" w:cs="EB Garamond"/>
          <w:sz w:val="24"/>
          <w:szCs w:val="24"/>
        </w:rPr>
        <w:t>villanized</w:t>
      </w:r>
      <w:proofErr w:type="spellEnd"/>
      <w:r>
        <w:rPr>
          <w:rFonts w:ascii="EB Garamond" w:eastAsia="EB Garamond" w:hAnsi="EB Garamond" w:cs="EB Garamond"/>
          <w:sz w:val="24"/>
          <w:szCs w:val="24"/>
        </w:rPr>
        <w:t xml:space="preserve"> other (the beef-eating Muslim) the cow-shelter, which was otherwise known as a charitable and service-driven o</w:t>
      </w:r>
      <w:r>
        <w:rPr>
          <w:rFonts w:ascii="EB Garamond" w:eastAsia="EB Garamond" w:hAnsi="EB Garamond" w:cs="EB Garamond"/>
          <w:sz w:val="24"/>
          <w:szCs w:val="24"/>
        </w:rPr>
        <w:t>rganization to the public, also perpetrated violence against Muslims (and Dalits, the historically disenfranchised castes). I came to understand here the intimate tethering of the spectacular event (of the lynching, the riot) with the banal (the everyday rhetoric of charity towards the innocent cow): one could not have worked without the other.  In other words, I examined the normalization of exceptional violence through everyday spaces associated with charitable service of the cow.</w:t>
      </w:r>
    </w:p>
    <w:p w14:paraId="00000007" w14:textId="77777777" w:rsidR="00FA5D76" w:rsidRDefault="00FA5D76">
      <w:pPr>
        <w:jc w:val="both"/>
        <w:rPr>
          <w:rFonts w:ascii="EB Garamond" w:eastAsia="EB Garamond" w:hAnsi="EB Garamond" w:cs="EB Garamond"/>
          <w:sz w:val="24"/>
          <w:szCs w:val="24"/>
        </w:rPr>
      </w:pPr>
    </w:p>
    <w:p w14:paraId="00000008" w14:textId="77777777" w:rsidR="00FA5D76" w:rsidRDefault="008F4113">
      <w:pPr>
        <w:jc w:val="both"/>
        <w:rPr>
          <w:rFonts w:ascii="EB Garamond" w:eastAsia="EB Garamond" w:hAnsi="EB Garamond" w:cs="EB Garamond"/>
          <w:sz w:val="24"/>
          <w:szCs w:val="24"/>
        </w:rPr>
      </w:pPr>
      <w:r>
        <w:rPr>
          <w:rFonts w:ascii="EB Garamond" w:eastAsia="EB Garamond" w:hAnsi="EB Garamond" w:cs="EB Garamond"/>
          <w:sz w:val="24"/>
          <w:szCs w:val="24"/>
        </w:rPr>
        <w:t xml:space="preserve">However, I have now moved away from this manner of framing my inquiry. I want to think closely about the motivations and stakes of pursuing a problem via the extra/ ordinary route. Thus, drawing upon Kathleen Stewart and Veena Das, I think about our attachments to the ordinary, </w:t>
      </w:r>
      <w:proofErr w:type="gramStart"/>
      <w:r>
        <w:rPr>
          <w:rFonts w:ascii="EB Garamond" w:eastAsia="EB Garamond" w:hAnsi="EB Garamond" w:cs="EB Garamond"/>
          <w:sz w:val="24"/>
          <w:szCs w:val="24"/>
        </w:rPr>
        <w:t>as a way to</w:t>
      </w:r>
      <w:proofErr w:type="gramEnd"/>
      <w:r>
        <w:rPr>
          <w:rFonts w:ascii="EB Garamond" w:eastAsia="EB Garamond" w:hAnsi="EB Garamond" w:cs="EB Garamond"/>
          <w:sz w:val="24"/>
          <w:szCs w:val="24"/>
        </w:rPr>
        <w:t xml:space="preserve"> think through what we are doing when we are making the extra/ ordinary cut as a mode of slicing our problematic. If for Stewart, the ordinary is “a drifting immersion that watches and waits for something to pop up”, I underline that where the watching ends and the pop begins is a cut that </w:t>
      </w:r>
      <w:r>
        <w:rPr>
          <w:rFonts w:ascii="EB Garamond" w:eastAsia="EB Garamond" w:hAnsi="EB Garamond" w:cs="EB Garamond"/>
          <w:i/>
          <w:sz w:val="24"/>
          <w:szCs w:val="24"/>
        </w:rPr>
        <w:t>we</w:t>
      </w:r>
      <w:r>
        <w:rPr>
          <w:rFonts w:ascii="EB Garamond" w:eastAsia="EB Garamond" w:hAnsi="EB Garamond" w:cs="EB Garamond"/>
          <w:sz w:val="24"/>
          <w:szCs w:val="24"/>
        </w:rPr>
        <w:t xml:space="preserve"> make–it is a question of the questions that we are asking and the investments that we have. For Veena Das, the </w:t>
      </w:r>
      <w:r>
        <w:rPr>
          <w:rFonts w:ascii="EB Garamond" w:eastAsia="EB Garamond" w:hAnsi="EB Garamond" w:cs="EB Garamond"/>
          <w:sz w:val="24"/>
          <w:szCs w:val="24"/>
        </w:rPr>
        <w:lastRenderedPageBreak/>
        <w:t>recovery of the ordinary is a necessity for the recovery of voice (which she is careful to disti</w:t>
      </w:r>
      <w:r>
        <w:rPr>
          <w:rFonts w:ascii="EB Garamond" w:eastAsia="EB Garamond" w:hAnsi="EB Garamond" w:cs="EB Garamond"/>
          <w:sz w:val="24"/>
          <w:szCs w:val="24"/>
        </w:rPr>
        <w:t>nguish from “speech); she holds us accountable for thinking of “agency” as some grand transcendence rather than a “descent into the ordinary.” I stay with Stewart, Das, and other proponents of the ordinary to unpack its seduction and the work it does for us more broadly and for me as a scholar of Hindutva, especially in revealing the co-constitution of the event and the everyday.</w:t>
      </w:r>
    </w:p>
    <w:p w14:paraId="00000009" w14:textId="77777777" w:rsidR="00FA5D76" w:rsidRDefault="008F4113">
      <w:pPr>
        <w:jc w:val="both"/>
        <w:rPr>
          <w:rFonts w:ascii="EB Garamond" w:eastAsia="EB Garamond" w:hAnsi="EB Garamond" w:cs="EB Garamond"/>
          <w:sz w:val="24"/>
          <w:szCs w:val="24"/>
        </w:rPr>
      </w:pPr>
      <w:r>
        <w:rPr>
          <w:rFonts w:ascii="EB Garamond" w:eastAsia="EB Garamond" w:hAnsi="EB Garamond" w:cs="EB Garamond"/>
          <w:sz w:val="24"/>
          <w:szCs w:val="24"/>
        </w:rPr>
        <w:t xml:space="preserve">I, then, however caution (myself too) against two specific slippages that anthropologists often make regarding the </w:t>
      </w:r>
      <w:proofErr w:type="gramStart"/>
      <w:r>
        <w:rPr>
          <w:rFonts w:ascii="EB Garamond" w:eastAsia="EB Garamond" w:hAnsi="EB Garamond" w:cs="EB Garamond"/>
          <w:sz w:val="24"/>
          <w:szCs w:val="24"/>
        </w:rPr>
        <w:t>everyday—a</w:t>
      </w:r>
      <w:proofErr w:type="gramEnd"/>
      <w:r>
        <w:rPr>
          <w:rFonts w:ascii="EB Garamond" w:eastAsia="EB Garamond" w:hAnsi="EB Garamond" w:cs="EB Garamond"/>
          <w:sz w:val="24"/>
          <w:szCs w:val="24"/>
        </w:rPr>
        <w:t xml:space="preserve">) the everyday as the already </w:t>
      </w:r>
      <w:proofErr w:type="spellStart"/>
      <w:r>
        <w:rPr>
          <w:rFonts w:ascii="EB Garamond" w:eastAsia="EB Garamond" w:hAnsi="EB Garamond" w:cs="EB Garamond"/>
          <w:sz w:val="24"/>
          <w:szCs w:val="24"/>
        </w:rPr>
        <w:t>valourized</w:t>
      </w:r>
      <w:proofErr w:type="spellEnd"/>
      <w:r>
        <w:rPr>
          <w:rFonts w:ascii="EB Garamond" w:eastAsia="EB Garamond" w:hAnsi="EB Garamond" w:cs="EB Garamond"/>
          <w:sz w:val="24"/>
          <w:szCs w:val="24"/>
        </w:rPr>
        <w:t xml:space="preserve">, the more ethical endeavor and b) particularly in the context of the “ethnographic turn” in the study of religion, the ethnographic as the “better” (again, more “ethical”) window unto the everyday. This move, I show, builds on as well as contributes to the construction of ethnographers of Hinduism as adherents to a larger project of depoliticizing religion via an alliance between whiteness and </w:t>
      </w:r>
      <w:proofErr w:type="spellStart"/>
      <w:r>
        <w:rPr>
          <w:rFonts w:ascii="EB Garamond" w:eastAsia="EB Garamond" w:hAnsi="EB Garamond" w:cs="EB Garamond"/>
          <w:sz w:val="24"/>
          <w:szCs w:val="24"/>
        </w:rPr>
        <w:t>brahminism</w:t>
      </w:r>
      <w:proofErr w:type="spellEnd"/>
      <w:r>
        <w:rPr>
          <w:rFonts w:ascii="EB Garamond" w:eastAsia="EB Garamond" w:hAnsi="EB Garamond" w:cs="EB Garamond"/>
          <w:sz w:val="24"/>
          <w:szCs w:val="24"/>
        </w:rPr>
        <w:t>, compounded by the fact that the academic study of re</w:t>
      </w:r>
      <w:r>
        <w:rPr>
          <w:rFonts w:ascii="EB Garamond" w:eastAsia="EB Garamond" w:hAnsi="EB Garamond" w:cs="EB Garamond"/>
          <w:sz w:val="24"/>
          <w:szCs w:val="24"/>
        </w:rPr>
        <w:t>ligion is already a North American endeavor with ties to the history of empire.</w:t>
      </w:r>
    </w:p>
    <w:p w14:paraId="0000000A" w14:textId="77777777" w:rsidR="00FA5D76" w:rsidRDefault="00FA5D76">
      <w:pPr>
        <w:jc w:val="both"/>
        <w:rPr>
          <w:rFonts w:ascii="EB Garamond" w:eastAsia="EB Garamond" w:hAnsi="EB Garamond" w:cs="EB Garamond"/>
          <w:sz w:val="24"/>
          <w:szCs w:val="24"/>
        </w:rPr>
      </w:pPr>
    </w:p>
    <w:p w14:paraId="0000000B" w14:textId="77777777" w:rsidR="00FA5D76" w:rsidRDefault="008F4113">
      <w:pPr>
        <w:jc w:val="both"/>
        <w:rPr>
          <w:rFonts w:ascii="EB Garamond" w:eastAsia="EB Garamond" w:hAnsi="EB Garamond" w:cs="EB Garamond"/>
          <w:sz w:val="24"/>
          <w:szCs w:val="24"/>
        </w:rPr>
      </w:pPr>
      <w:r>
        <w:rPr>
          <w:rFonts w:ascii="EB Garamond" w:eastAsia="EB Garamond" w:hAnsi="EB Garamond" w:cs="EB Garamond"/>
          <w:sz w:val="24"/>
          <w:szCs w:val="24"/>
        </w:rPr>
        <w:t xml:space="preserve">In doing so, I think more broadly with anthropologists (who think with philosophers) such as </w:t>
      </w:r>
      <w:proofErr w:type="spellStart"/>
      <w:r>
        <w:rPr>
          <w:rFonts w:ascii="EB Garamond" w:eastAsia="EB Garamond" w:hAnsi="EB Garamond" w:cs="EB Garamond"/>
          <w:sz w:val="24"/>
          <w:szCs w:val="24"/>
        </w:rPr>
        <w:t>Naisargi</w:t>
      </w:r>
      <w:proofErr w:type="spellEnd"/>
      <w:r>
        <w:rPr>
          <w:rFonts w:ascii="EB Garamond" w:eastAsia="EB Garamond" w:hAnsi="EB Garamond" w:cs="EB Garamond"/>
          <w:sz w:val="24"/>
          <w:szCs w:val="24"/>
        </w:rPr>
        <w:t xml:space="preserve"> Dave, who argues that the ordinary is first and foremost a move to render everything explainable and knowable via the "tyranny of context”, at the expense of our capacity to be amazed by the extraordinary. She writes: “But can’t we ask again, as </w:t>
      </w:r>
      <w:proofErr w:type="spellStart"/>
      <w:r>
        <w:rPr>
          <w:rFonts w:ascii="EB Garamond" w:eastAsia="EB Garamond" w:hAnsi="EB Garamond" w:cs="EB Garamond"/>
          <w:sz w:val="24"/>
          <w:szCs w:val="24"/>
        </w:rPr>
        <w:t>Strathern</w:t>
      </w:r>
      <w:proofErr w:type="spellEnd"/>
      <w:r>
        <w:rPr>
          <w:rFonts w:ascii="EB Garamond" w:eastAsia="EB Garamond" w:hAnsi="EB Garamond" w:cs="EB Garamond"/>
          <w:sz w:val="24"/>
          <w:szCs w:val="24"/>
        </w:rPr>
        <w:t xml:space="preserve"> did twenty years ago, what is so awful about being amazed? What is all this insistence on the world being ordinary? Ordinary life, ordinary ethics, ordinary affects. No! If these things are ordinary, it is only because we insist on them being so, </w:t>
      </w:r>
      <w:r>
        <w:rPr>
          <w:rFonts w:ascii="EB Garamond" w:eastAsia="EB Garamond" w:hAnsi="EB Garamond" w:cs="EB Garamond"/>
          <w:sz w:val="24"/>
          <w:szCs w:val="24"/>
        </w:rPr>
        <w:t xml:space="preserve">making falling chicken feet a story about political economy or religiosity—a story comparable, </w:t>
      </w:r>
      <w:proofErr w:type="spellStart"/>
      <w:r>
        <w:rPr>
          <w:rFonts w:ascii="EB Garamond" w:eastAsia="EB Garamond" w:hAnsi="EB Garamond" w:cs="EB Garamond"/>
          <w:sz w:val="24"/>
          <w:szCs w:val="24"/>
        </w:rPr>
        <w:t>rehearsable</w:t>
      </w:r>
      <w:proofErr w:type="spellEnd"/>
      <w:r>
        <w:rPr>
          <w:rFonts w:ascii="EB Garamond" w:eastAsia="EB Garamond" w:hAnsi="EB Garamond" w:cs="EB Garamond"/>
          <w:sz w:val="24"/>
          <w:szCs w:val="24"/>
        </w:rPr>
        <w:t xml:space="preserve">, </w:t>
      </w:r>
      <w:r>
        <w:rPr>
          <w:rFonts w:ascii="EB Garamond" w:eastAsia="EB Garamond" w:hAnsi="EB Garamond" w:cs="EB Garamond"/>
          <w:i/>
          <w:sz w:val="24"/>
          <w:szCs w:val="24"/>
        </w:rPr>
        <w:t>useful</w:t>
      </w:r>
      <w:r>
        <w:rPr>
          <w:rFonts w:ascii="EB Garamond" w:eastAsia="EB Garamond" w:hAnsi="EB Garamond" w:cs="EB Garamond"/>
          <w:sz w:val="24"/>
          <w:szCs w:val="24"/>
        </w:rPr>
        <w:t>: ethnography as labor camp.”</w:t>
      </w:r>
    </w:p>
    <w:p w14:paraId="0000000C" w14:textId="77777777" w:rsidR="00FA5D76" w:rsidRDefault="00FA5D76">
      <w:pPr>
        <w:jc w:val="both"/>
        <w:rPr>
          <w:rFonts w:ascii="EB Garamond" w:eastAsia="EB Garamond" w:hAnsi="EB Garamond" w:cs="EB Garamond"/>
          <w:sz w:val="24"/>
          <w:szCs w:val="24"/>
        </w:rPr>
      </w:pPr>
    </w:p>
    <w:p w14:paraId="0000000D" w14:textId="77777777" w:rsidR="00FA5D76" w:rsidRDefault="008F4113">
      <w:pPr>
        <w:jc w:val="both"/>
        <w:rPr>
          <w:rFonts w:ascii="EB Garamond" w:eastAsia="EB Garamond" w:hAnsi="EB Garamond" w:cs="EB Garamond"/>
          <w:sz w:val="24"/>
          <w:szCs w:val="24"/>
        </w:rPr>
      </w:pPr>
      <w:r>
        <w:rPr>
          <w:rFonts w:ascii="EB Garamond" w:eastAsia="EB Garamond" w:hAnsi="EB Garamond" w:cs="EB Garamond"/>
          <w:sz w:val="24"/>
          <w:szCs w:val="24"/>
        </w:rPr>
        <w:t xml:space="preserve">Thus, I consider what becomes available in the shift from the ordinary to the extraordinary or even </w:t>
      </w:r>
      <w:proofErr w:type="gramStart"/>
      <w:r>
        <w:rPr>
          <w:rFonts w:ascii="EB Garamond" w:eastAsia="EB Garamond" w:hAnsi="EB Garamond" w:cs="EB Garamond"/>
          <w:sz w:val="24"/>
          <w:szCs w:val="24"/>
        </w:rPr>
        <w:t>through  an</w:t>
      </w:r>
      <w:proofErr w:type="gramEnd"/>
      <w:r>
        <w:rPr>
          <w:rFonts w:ascii="EB Garamond" w:eastAsia="EB Garamond" w:hAnsi="EB Garamond" w:cs="EB Garamond"/>
          <w:sz w:val="24"/>
          <w:szCs w:val="24"/>
        </w:rPr>
        <w:t xml:space="preserve"> active bypassing of this mode of staging (and thus, pursuing) my question.</w:t>
      </w:r>
    </w:p>
    <w:p w14:paraId="0000000E" w14:textId="77777777" w:rsidR="00FA5D76" w:rsidRDefault="00FA5D76">
      <w:pPr>
        <w:jc w:val="both"/>
        <w:rPr>
          <w:rFonts w:ascii="EB Garamond" w:eastAsia="EB Garamond" w:hAnsi="EB Garamond" w:cs="EB Garamond"/>
          <w:sz w:val="24"/>
          <w:szCs w:val="24"/>
        </w:rPr>
      </w:pPr>
    </w:p>
    <w:p w14:paraId="0000000F" w14:textId="77777777" w:rsidR="00FA5D76" w:rsidRDefault="008F4113">
      <w:pPr>
        <w:jc w:val="both"/>
        <w:rPr>
          <w:rFonts w:ascii="EB Garamond" w:eastAsia="EB Garamond" w:hAnsi="EB Garamond" w:cs="EB Garamond"/>
          <w:sz w:val="24"/>
          <w:szCs w:val="24"/>
        </w:rPr>
      </w:pPr>
      <w:r>
        <w:rPr>
          <w:rFonts w:ascii="EB Garamond" w:eastAsia="EB Garamond" w:hAnsi="EB Garamond" w:cs="EB Garamond"/>
          <w:sz w:val="24"/>
          <w:szCs w:val="24"/>
        </w:rPr>
        <w:t>Recommended Reading:</w:t>
      </w:r>
    </w:p>
    <w:p w14:paraId="00000010" w14:textId="77777777" w:rsidR="00FA5D76" w:rsidRDefault="008F4113">
      <w:pPr>
        <w:spacing w:line="240" w:lineRule="auto"/>
        <w:jc w:val="both"/>
        <w:rPr>
          <w:rFonts w:ascii="EB Garamond" w:eastAsia="EB Garamond" w:hAnsi="EB Garamond" w:cs="EB Garamond"/>
          <w:sz w:val="24"/>
          <w:szCs w:val="24"/>
        </w:rPr>
      </w:pPr>
      <w:proofErr w:type="spellStart"/>
      <w:r>
        <w:rPr>
          <w:rFonts w:ascii="EB Garamond" w:eastAsia="EB Garamond" w:hAnsi="EB Garamond" w:cs="EB Garamond"/>
          <w:sz w:val="24"/>
          <w:szCs w:val="24"/>
        </w:rPr>
        <w:t>Naisargi</w:t>
      </w:r>
      <w:proofErr w:type="spellEnd"/>
      <w:r>
        <w:rPr>
          <w:rFonts w:ascii="EB Garamond" w:eastAsia="EB Garamond" w:hAnsi="EB Garamond" w:cs="EB Garamond"/>
          <w:sz w:val="24"/>
          <w:szCs w:val="24"/>
        </w:rPr>
        <w:t xml:space="preserve"> Dave, “Kamadhenu’s Last Stand: On Animal Refusal to work” (2019)</w:t>
      </w:r>
    </w:p>
    <w:p w14:paraId="00000011" w14:textId="77777777" w:rsidR="00FA5D76" w:rsidRDefault="00FA5D76">
      <w:pPr>
        <w:jc w:val="both"/>
        <w:rPr>
          <w:rFonts w:ascii="EB Garamond" w:eastAsia="EB Garamond" w:hAnsi="EB Garamond" w:cs="EB Garamond"/>
          <w:sz w:val="24"/>
          <w:szCs w:val="24"/>
        </w:rPr>
      </w:pPr>
    </w:p>
    <w:p w14:paraId="00000012" w14:textId="77777777" w:rsidR="00FA5D76" w:rsidRDefault="00FA5D76">
      <w:pPr>
        <w:jc w:val="both"/>
        <w:rPr>
          <w:rFonts w:ascii="EB Garamond" w:eastAsia="EB Garamond" w:hAnsi="EB Garamond" w:cs="EB Garamond"/>
          <w:sz w:val="24"/>
          <w:szCs w:val="24"/>
        </w:rPr>
      </w:pPr>
    </w:p>
    <w:p w14:paraId="00000013" w14:textId="77777777" w:rsidR="00FA5D76" w:rsidRDefault="00FA5D76">
      <w:pPr>
        <w:jc w:val="both"/>
        <w:rPr>
          <w:rFonts w:ascii="EB Garamond" w:eastAsia="EB Garamond" w:hAnsi="EB Garamond" w:cs="EB Garamond"/>
          <w:sz w:val="24"/>
          <w:szCs w:val="24"/>
        </w:rPr>
      </w:pPr>
    </w:p>
    <w:p w14:paraId="00000014" w14:textId="77777777" w:rsidR="00FA5D76" w:rsidRDefault="00FA5D76">
      <w:pPr>
        <w:jc w:val="both"/>
        <w:rPr>
          <w:rFonts w:ascii="EB Garamond" w:eastAsia="EB Garamond" w:hAnsi="EB Garamond" w:cs="EB Garamond"/>
          <w:sz w:val="24"/>
          <w:szCs w:val="24"/>
        </w:rPr>
      </w:pPr>
    </w:p>
    <w:p w14:paraId="00000015" w14:textId="77777777" w:rsidR="00FA5D76" w:rsidRDefault="00FA5D76">
      <w:pPr>
        <w:jc w:val="both"/>
        <w:rPr>
          <w:rFonts w:ascii="EB Garamond" w:eastAsia="EB Garamond" w:hAnsi="EB Garamond" w:cs="EB Garamond"/>
          <w:sz w:val="24"/>
          <w:szCs w:val="24"/>
        </w:rPr>
      </w:pPr>
    </w:p>
    <w:sectPr w:rsidR="00FA5D7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embedRegular r:id="rId1" w:fontKey="{47D77B03-CDAB-7743-BB24-5594D4F280D2}"/>
    <w:embedItalic r:id="rId2" w:fontKey="{4FE64AC9-CFE6-B042-8419-B5E51B55A113}"/>
  </w:font>
  <w:font w:name="Times New Roman">
    <w:panose1 w:val="02020603050405020304"/>
    <w:charset w:val="00"/>
    <w:family w:val="roman"/>
    <w:pitch w:val="variable"/>
    <w:sig w:usb0="E0002EFF" w:usb1="C000785B" w:usb2="00000009" w:usb3="00000000" w:csb0="000001FF" w:csb1="00000000"/>
    <w:embedRegular r:id="rId3" w:fontKey="{D664D61D-79EE-1942-A559-82F597CA50F5}"/>
  </w:font>
  <w:font w:name="EB Garamond">
    <w:panose1 w:val="00000500000000000000"/>
    <w:charset w:val="00"/>
    <w:family w:val="auto"/>
    <w:pitch w:val="variable"/>
    <w:sig w:usb0="E00002FF" w:usb1="02000413" w:usb2="00000000" w:usb3="00000000" w:csb0="0000019F" w:csb1="00000000"/>
    <w:embedRegular r:id="rId4" w:fontKey="{486F4477-6E10-B741-B7A4-DB0D603CFC99}"/>
    <w:embedBold r:id="rId5" w:fontKey="{CB08707E-45FA-1143-87E3-1CC77C17B328}"/>
    <w:embedItalic r:id="rId6" w:fontKey="{9F7C1BB2-7451-C748-A9B2-9F136E281301}"/>
  </w:font>
  <w:font w:name="Calibri">
    <w:panose1 w:val="020F0502020204030204"/>
    <w:charset w:val="00"/>
    <w:family w:val="swiss"/>
    <w:pitch w:val="variable"/>
    <w:sig w:usb0="E4002EFF" w:usb1="C200247B" w:usb2="00000009" w:usb3="00000000" w:csb0="000001FF" w:csb1="00000000"/>
    <w:embedRegular r:id="rId7" w:fontKey="{FEFC795A-800F-2E43-ADD2-1DE3E86F5E58}"/>
  </w:font>
  <w:font w:name="Cambria">
    <w:panose1 w:val="02040503050406030204"/>
    <w:charset w:val="00"/>
    <w:family w:val="roman"/>
    <w:pitch w:val="variable"/>
    <w:sig w:usb0="E00006FF" w:usb1="420024FF" w:usb2="02000000" w:usb3="00000000" w:csb0="0000019F" w:csb1="00000000"/>
    <w:embedRegular r:id="rId8" w:fontKey="{03040C1A-C4B2-9F40-9CC7-AE06CCF4F3E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5D76"/>
    <w:rsid w:val="005955F4"/>
    <w:rsid w:val="008F4113"/>
    <w:rsid w:val="00FA5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052CD2"/>
  <w15:docId w15:val="{78570617-BC01-B445-9BD9-B6285ECBD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758</Words>
  <Characters>4321</Characters>
  <Application>Microsoft Office Word</Application>
  <DocSecurity>0</DocSecurity>
  <Lines>36</Lines>
  <Paragraphs>10</Paragraphs>
  <ScaleCrop>false</ScaleCrop>
  <Company/>
  <LinksUpToDate>false</LinksUpToDate>
  <CharactersWithSpaces>5069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Merinda Simmons</cp:lastModifiedBy>
  <cp:revision>2</cp:revision>
  <dcterms:created xsi:type="dcterms:W3CDTF">2025-10-20T19:09:00Z</dcterms:created>
  <dcterms:modified xsi:type="dcterms:W3CDTF">2025-10-20T19:09:00Z</dcterms:modified>
</cp:coreProperties>
</file>